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D9" w14:textId="77777777" w:rsidR="00D343A0" w:rsidRPr="004B7739" w:rsidRDefault="00FB690D" w:rsidP="00D343A0">
      <w:pPr>
        <w:pStyle w:val="CPClassification"/>
        <w:tabs>
          <w:tab w:val="clear" w:pos="2160"/>
          <w:tab w:val="left" w:pos="5400"/>
        </w:tabs>
        <w:ind w:left="2160" w:firstLine="5040"/>
        <w:contextualSpacing/>
        <w:rPr>
          <w:color w:val="000000" w:themeColor="text1"/>
          <w:lang w:val="es-US"/>
        </w:rPr>
      </w:pPr>
      <w:r>
        <w:rPr>
          <w:color w:val="000000" w:themeColor="text1"/>
          <w:lang w:val="es-MX"/>
        </w:rPr>
        <w:object w:dxaOrig="1440" w:dyaOrig="1440" w14:anchorId="1086B680">
          <v:shape id="_x0000_s2055" type="#_x0000_t75" style="position:absolute;left:0;text-align:left;margin-left:113pt;margin-top:68.45pt;width:320.1pt;height:28.3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5" DrawAspect="Content" ObjectID="_1761744756" r:id="rId9"/>
        </w:object>
      </w:r>
      <w:r w:rsidR="00D343A0" w:rsidRPr="004B7739">
        <w:rPr>
          <w:color w:val="000000" w:themeColor="text1"/>
          <w:lang w:val="es-US"/>
        </w:rPr>
        <w:t>OEA/Ser.G</w:t>
      </w:r>
    </w:p>
    <w:p w14:paraId="320633F7" w14:textId="0CC78AD3" w:rsidR="00D343A0" w:rsidRPr="004B7739" w:rsidRDefault="00D343A0" w:rsidP="00D343A0">
      <w:pPr>
        <w:spacing w:after="0" w:line="240" w:lineRule="auto"/>
        <w:ind w:left="7200" w:right="-1289"/>
        <w:contextualSpacing/>
        <w:rPr>
          <w:rFonts w:ascii="Times New Roman" w:hAnsi="Times New Roman" w:cs="Times New Roman"/>
          <w:color w:val="000000" w:themeColor="text1"/>
          <w:lang w:val="es-US"/>
        </w:rPr>
      </w:pPr>
      <w:r w:rsidRPr="004B7739">
        <w:rPr>
          <w:rFonts w:ascii="Times New Roman" w:hAnsi="Times New Roman" w:cs="Times New Roman"/>
          <w:color w:val="000000" w:themeColor="text1"/>
          <w:lang w:val="es-US"/>
        </w:rPr>
        <w:t>CP/RES. 123</w:t>
      </w:r>
      <w:r>
        <w:rPr>
          <w:rFonts w:ascii="Times New Roman" w:hAnsi="Times New Roman" w:cs="Times New Roman"/>
          <w:color w:val="000000" w:themeColor="text1"/>
          <w:lang w:val="es-US"/>
        </w:rPr>
        <w:t>5</w:t>
      </w:r>
      <w:r w:rsidRPr="004B7739">
        <w:rPr>
          <w:rFonts w:ascii="Times New Roman" w:hAnsi="Times New Roman" w:cs="Times New Roman"/>
          <w:color w:val="000000" w:themeColor="text1"/>
          <w:lang w:val="es-US"/>
        </w:rPr>
        <w:t xml:space="preserve"> (2466/23)</w:t>
      </w:r>
      <w:r w:rsidR="004E183A">
        <w:rPr>
          <w:rFonts w:ascii="Times New Roman" w:hAnsi="Times New Roman" w:cs="Times New Roman"/>
          <w:color w:val="000000" w:themeColor="text1"/>
          <w:lang w:val="es-US"/>
        </w:rPr>
        <w:t xml:space="preserve"> </w:t>
      </w:r>
      <w:proofErr w:type="spellStart"/>
      <w:r w:rsidR="004E183A">
        <w:rPr>
          <w:rFonts w:ascii="Times New Roman" w:hAnsi="Times New Roman" w:cs="Times New Roman"/>
          <w:color w:val="000000" w:themeColor="text1"/>
          <w:lang w:val="es-US"/>
        </w:rPr>
        <w:t>rev.</w:t>
      </w:r>
      <w:proofErr w:type="spellEnd"/>
      <w:r w:rsidR="004E183A">
        <w:rPr>
          <w:rFonts w:ascii="Times New Roman" w:hAnsi="Times New Roman" w:cs="Times New Roman"/>
          <w:color w:val="000000" w:themeColor="text1"/>
          <w:lang w:val="es-US"/>
        </w:rPr>
        <w:t xml:space="preserve"> 1</w:t>
      </w:r>
    </w:p>
    <w:p w14:paraId="330448FF" w14:textId="42B2A15A" w:rsidR="00D343A0" w:rsidRPr="004B7739" w:rsidRDefault="004E183A" w:rsidP="00D343A0">
      <w:pPr>
        <w:spacing w:after="0" w:line="240" w:lineRule="auto"/>
        <w:ind w:left="7200"/>
        <w:contextualSpacing/>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17 </w:t>
      </w:r>
      <w:r w:rsidR="00D343A0" w:rsidRPr="004B7739">
        <w:rPr>
          <w:rFonts w:ascii="Times New Roman" w:hAnsi="Times New Roman" w:cs="Times New Roman"/>
          <w:color w:val="000000" w:themeColor="text1"/>
          <w:lang w:val="es-MX"/>
        </w:rPr>
        <w:t>noviembre 2023</w:t>
      </w:r>
    </w:p>
    <w:p w14:paraId="4671364E" w14:textId="77777777" w:rsidR="00D343A0" w:rsidRPr="004B7739" w:rsidRDefault="00D343A0" w:rsidP="00D343A0">
      <w:pPr>
        <w:spacing w:after="0" w:line="240" w:lineRule="auto"/>
        <w:ind w:left="7200" w:right="-839"/>
        <w:contextualSpacing/>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Original: inglés</w:t>
      </w:r>
    </w:p>
    <w:p w14:paraId="003D15BF" w14:textId="77777777" w:rsidR="00D343A0" w:rsidRPr="004B7739" w:rsidRDefault="00D343A0" w:rsidP="00D343A0">
      <w:pPr>
        <w:spacing w:after="0" w:line="240" w:lineRule="auto"/>
        <w:ind w:right="-839"/>
        <w:contextualSpacing/>
        <w:rPr>
          <w:rFonts w:ascii="Times New Roman" w:hAnsi="Times New Roman" w:cs="Times New Roman"/>
          <w:color w:val="000000" w:themeColor="text1"/>
          <w:lang w:val="es-MX"/>
        </w:rPr>
      </w:pPr>
    </w:p>
    <w:p w14:paraId="0F6B901C" w14:textId="77777777" w:rsidR="00D343A0" w:rsidRPr="004B7739" w:rsidRDefault="00D343A0" w:rsidP="00D343A0">
      <w:pPr>
        <w:spacing w:after="0" w:line="240" w:lineRule="auto"/>
        <w:ind w:right="-839"/>
        <w:contextualSpacing/>
        <w:rPr>
          <w:rFonts w:ascii="Times New Roman" w:hAnsi="Times New Roman" w:cs="Times New Roman"/>
          <w:color w:val="000000" w:themeColor="text1"/>
          <w:lang w:val="es-MX"/>
        </w:rPr>
      </w:pPr>
    </w:p>
    <w:p w14:paraId="2C8428FC" w14:textId="77777777" w:rsidR="00D343A0" w:rsidRPr="004B7739" w:rsidRDefault="00D343A0" w:rsidP="00D343A0">
      <w:pPr>
        <w:spacing w:after="0" w:line="240" w:lineRule="auto"/>
        <w:ind w:right="-839"/>
        <w:contextualSpacing/>
        <w:rPr>
          <w:rFonts w:ascii="Times New Roman" w:hAnsi="Times New Roman" w:cs="Times New Roman"/>
          <w:color w:val="000000" w:themeColor="text1"/>
          <w:lang w:val="es-MX"/>
        </w:rPr>
      </w:pPr>
    </w:p>
    <w:p w14:paraId="652528D5" w14:textId="41792083" w:rsidR="00D343A0" w:rsidRPr="004B7739" w:rsidRDefault="00D343A0" w:rsidP="00D343A0">
      <w:pPr>
        <w:spacing w:after="0" w:line="240" w:lineRule="auto"/>
        <w:ind w:right="-29"/>
        <w:contextualSpacing/>
        <w:jc w:val="center"/>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CP/RES. 123</w:t>
      </w:r>
      <w:r w:rsidR="00EF2EEA">
        <w:rPr>
          <w:rFonts w:ascii="Times New Roman" w:hAnsi="Times New Roman" w:cs="Times New Roman"/>
          <w:color w:val="000000" w:themeColor="text1"/>
          <w:lang w:val="es-MX"/>
        </w:rPr>
        <w:t>5</w:t>
      </w:r>
      <w:r w:rsidRPr="004B7739">
        <w:rPr>
          <w:rFonts w:ascii="Times New Roman" w:hAnsi="Times New Roman" w:cs="Times New Roman"/>
          <w:color w:val="000000" w:themeColor="text1"/>
          <w:lang w:val="es-MX"/>
        </w:rPr>
        <w:t xml:space="preserve"> (2466/23)</w:t>
      </w:r>
    </w:p>
    <w:p w14:paraId="2CDD7308" w14:textId="77777777" w:rsidR="009444A2" w:rsidRPr="009444A2" w:rsidRDefault="009444A2" w:rsidP="00D343A0">
      <w:pPr>
        <w:spacing w:after="0" w:line="240" w:lineRule="auto"/>
        <w:jc w:val="center"/>
        <w:rPr>
          <w:rFonts w:ascii="Times New Roman" w:eastAsia="Times New Roman" w:hAnsi="Times New Roman" w:cs="Times New Roman"/>
          <w:lang w:val="es-419"/>
        </w:rPr>
      </w:pPr>
    </w:p>
    <w:p w14:paraId="15AD33A0" w14:textId="2DE1957B" w:rsidR="009444A2" w:rsidRPr="009444A2" w:rsidRDefault="009444A2" w:rsidP="00D343A0">
      <w:pPr>
        <w:spacing w:after="0" w:line="240" w:lineRule="auto"/>
        <w:jc w:val="center"/>
        <w:rPr>
          <w:rFonts w:ascii="Times New Roman" w:hAnsi="Times New Roman" w:cs="Times New Roman"/>
          <w:color w:val="000000"/>
          <w:shd w:val="clear" w:color="auto" w:fill="FFFFFF"/>
        </w:rPr>
      </w:pPr>
      <w:r w:rsidRPr="009444A2">
        <w:rPr>
          <w:rFonts w:ascii="Times New Roman" w:eastAsia="Times New Roman" w:hAnsi="Times New Roman" w:cs="Times New Roman"/>
          <w:lang w:val="es-419"/>
        </w:rPr>
        <w:t xml:space="preserve">PROMOCIÓN Y FORTALECIMIENTO DE LAS BUENAS PRÁCTICAS </w:t>
      </w:r>
      <w:r>
        <w:rPr>
          <w:rFonts w:ascii="Times New Roman" w:eastAsia="Times New Roman" w:hAnsi="Times New Roman" w:cs="Times New Roman"/>
          <w:lang w:val="es-419"/>
        </w:rPr>
        <w:br/>
      </w:r>
      <w:r w:rsidRPr="009444A2">
        <w:rPr>
          <w:rFonts w:ascii="Times New Roman" w:eastAsia="Times New Roman" w:hAnsi="Times New Roman" w:cs="Times New Roman"/>
          <w:lang w:val="es-419"/>
        </w:rPr>
        <w:t>EN MATERIA DE LUCHA CONTRA EL ACOSO SEXUAL</w:t>
      </w:r>
      <w:r w:rsidR="004E183A" w:rsidRPr="004E183A">
        <w:rPr>
          <w:rStyle w:val="FootnoteReference"/>
          <w:rFonts w:ascii="Times New Roman" w:eastAsia="Times New Roman" w:hAnsi="Times New Roman" w:cs="Times New Roman"/>
          <w:u w:val="single"/>
          <w:lang w:val="es-419"/>
        </w:rPr>
        <w:footnoteReference w:id="2"/>
      </w:r>
      <w:r w:rsidR="004E183A" w:rsidRPr="004E183A">
        <w:rPr>
          <w:rFonts w:ascii="Times New Roman" w:eastAsia="Times New Roman" w:hAnsi="Times New Roman" w:cs="Times New Roman"/>
          <w:vertAlign w:val="superscript"/>
          <w:lang w:val="es-419"/>
        </w:rPr>
        <w:t>/</w:t>
      </w:r>
    </w:p>
    <w:p w14:paraId="738C4AB1" w14:textId="77777777" w:rsidR="009444A2" w:rsidRDefault="009444A2" w:rsidP="00D343A0">
      <w:pPr>
        <w:spacing w:after="0" w:line="240" w:lineRule="auto"/>
        <w:jc w:val="both"/>
        <w:rPr>
          <w:rFonts w:ascii="Times New Roman" w:hAnsi="Times New Roman" w:cs="Times New Roman"/>
          <w:color w:val="000000"/>
        </w:rPr>
      </w:pPr>
    </w:p>
    <w:p w14:paraId="39668BC4" w14:textId="77777777" w:rsidR="00D343A0" w:rsidRPr="004B7739" w:rsidRDefault="00D343A0" w:rsidP="00D343A0">
      <w:pPr>
        <w:spacing w:after="0" w:line="240" w:lineRule="auto"/>
        <w:jc w:val="center"/>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w:t>
      </w:r>
      <w:r w:rsidRPr="004B7739">
        <w:rPr>
          <w:rFonts w:ascii="Times New Roman" w:hAnsi="Times New Roman" w:cs="Times New Roman"/>
          <w:color w:val="000000" w:themeColor="text1"/>
          <w:shd w:val="clear" w:color="auto" w:fill="FFFFFF"/>
        </w:rPr>
        <w:t>Aprobada por el Consejo Permanente en la sesión ordinaria celebrada el 8 de noviembre de 2023</w:t>
      </w:r>
      <w:r w:rsidRPr="004B7739">
        <w:rPr>
          <w:rFonts w:ascii="Times New Roman" w:hAnsi="Times New Roman" w:cs="Times New Roman"/>
          <w:color w:val="000000" w:themeColor="text1"/>
          <w:lang w:val="es-MX"/>
        </w:rPr>
        <w:t>)</w:t>
      </w:r>
    </w:p>
    <w:p w14:paraId="28B4C140" w14:textId="77777777" w:rsidR="00D343A0" w:rsidRPr="00D343A0" w:rsidRDefault="00D343A0" w:rsidP="00D343A0">
      <w:pPr>
        <w:spacing w:after="0" w:line="240" w:lineRule="auto"/>
        <w:jc w:val="both"/>
        <w:rPr>
          <w:rFonts w:ascii="Times New Roman" w:hAnsi="Times New Roman" w:cs="Times New Roman"/>
          <w:color w:val="000000"/>
          <w:lang w:val="es-MX"/>
        </w:rPr>
      </w:pPr>
    </w:p>
    <w:p w14:paraId="1929E342" w14:textId="77777777" w:rsidR="009444A2" w:rsidRDefault="009444A2" w:rsidP="00D343A0">
      <w:pPr>
        <w:spacing w:after="0" w:line="240" w:lineRule="auto"/>
        <w:jc w:val="both"/>
        <w:rPr>
          <w:rFonts w:ascii="Times New Roman" w:eastAsia="Times New Roman" w:hAnsi="Times New Roman" w:cs="Times New Roman"/>
          <w:lang w:val="es-EC"/>
        </w:rPr>
      </w:pPr>
    </w:p>
    <w:p w14:paraId="30A2392C" w14:textId="5487296B"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EL CONSEJO PERMANENTE</w:t>
      </w:r>
      <w:r>
        <w:rPr>
          <w:rFonts w:ascii="Times New Roman" w:eastAsia="Times New Roman" w:hAnsi="Times New Roman" w:cs="Times New Roman"/>
          <w:lang w:val="es-EC"/>
        </w:rPr>
        <w:t xml:space="preserve"> DE LA ORGANIZACIÓN DE LOS ESTADOS AMERICANOS</w:t>
      </w:r>
      <w:r w:rsidRPr="009444A2">
        <w:rPr>
          <w:rFonts w:ascii="Times New Roman" w:hAnsi="Times New Roman" w:cs="Times New Roman"/>
          <w:color w:val="000000"/>
          <w:shd w:val="clear" w:color="auto" w:fill="FFFFFF"/>
        </w:rPr>
        <w:t>,</w:t>
      </w:r>
    </w:p>
    <w:p w14:paraId="5A7821BA" w14:textId="77777777" w:rsidR="009444A2" w:rsidRPr="009444A2" w:rsidRDefault="009444A2" w:rsidP="00D343A0">
      <w:pPr>
        <w:spacing w:after="0" w:line="240" w:lineRule="auto"/>
        <w:ind w:firstLine="720"/>
        <w:jc w:val="both"/>
        <w:rPr>
          <w:rFonts w:ascii="Times New Roman" w:hAnsi="Times New Roman" w:cs="Times New Roman"/>
          <w:color w:val="000000"/>
        </w:rPr>
      </w:pPr>
      <w:r w:rsidRPr="009444A2">
        <w:rPr>
          <w:rFonts w:ascii="Times New Roman" w:hAnsi="Times New Roman" w:cs="Times New Roman"/>
          <w:color w:val="000000"/>
        </w:rPr>
        <w:br/>
      </w:r>
      <w:r w:rsidRPr="009444A2">
        <w:rPr>
          <w:rFonts w:ascii="Times New Roman" w:eastAsia="Times New Roman" w:hAnsi="Times New Roman" w:cs="Times New Roman"/>
          <w:lang w:val="es-EC"/>
        </w:rPr>
        <w:t>RECORDANDO que el respeto a los derechos humanos ha sido consagrado en la Declaración Americana de los Derechos y Deberes del Hombre y la Declaración Universal de los Derechos Humanos y reafirmado en otros instrumentos internacionales y regionales;</w:t>
      </w:r>
    </w:p>
    <w:p w14:paraId="4DB2C71E"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5E8DAEFA"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 xml:space="preserve">RECORDANDO el artículo 5.1 de la Convención Americana sobre Derechos Humanos, que afirma que toda persona tiene derecho </w:t>
      </w:r>
      <w:r w:rsidRPr="009444A2">
        <w:rPr>
          <w:rFonts w:ascii="Times New Roman" w:eastAsia="Times New Roman" w:hAnsi="Times New Roman" w:cs="Times New Roman"/>
          <w:bCs/>
          <w:lang w:val="es-EC"/>
        </w:rPr>
        <w:t xml:space="preserve">a </w:t>
      </w:r>
      <w:r w:rsidRPr="009444A2">
        <w:rPr>
          <w:rFonts w:ascii="Times New Roman" w:eastAsia="Times New Roman" w:hAnsi="Times New Roman" w:cs="Times New Roman"/>
          <w:lang w:val="es-EC"/>
        </w:rPr>
        <w:t>que se respete su integridad física, psíquica y moral;</w:t>
      </w:r>
      <w:r w:rsidRPr="009444A2">
        <w:rPr>
          <w:rFonts w:ascii="Times New Roman" w:hAnsi="Times New Roman" w:cs="Times New Roman"/>
          <w:color w:val="000000"/>
          <w:shd w:val="clear" w:color="auto" w:fill="FFFFFF"/>
        </w:rPr>
        <w:t xml:space="preserve"> </w:t>
      </w:r>
    </w:p>
    <w:p w14:paraId="7C7E87EE"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1D31B0DF"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REAFIRMANDO los compromisos asumidos por la agenda 2030 para el Desarrollo Sostenible, particularmente los objetivos 5 “Igualdad de Género”, 8 “Trabajo Decente y Crecimiento Económico”, 10 “Reducción de las Desigualdades” y 16 “Paz, Justicia e Instituciones Sólidas”</w:t>
      </w:r>
      <w:r w:rsidRPr="009444A2">
        <w:rPr>
          <w:rFonts w:ascii="Times New Roman" w:hAnsi="Times New Roman" w:cs="Times New Roman"/>
          <w:color w:val="000000"/>
          <w:shd w:val="clear" w:color="auto" w:fill="FFFFFF"/>
        </w:rPr>
        <w:t>;</w:t>
      </w:r>
    </w:p>
    <w:p w14:paraId="165B14C9"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3F391838"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 xml:space="preserve">RECONOCIENDO la importancia de incorporar un enfoque transversal de género que </w:t>
      </w:r>
      <w:r w:rsidRPr="009444A2">
        <w:rPr>
          <w:rFonts w:ascii="Times New Roman" w:eastAsia="Times New Roman" w:hAnsi="Times New Roman" w:cs="Times New Roman"/>
          <w:bCs/>
          <w:lang w:val="es-EC"/>
        </w:rPr>
        <w:t>aumente</w:t>
      </w:r>
      <w:r w:rsidRPr="009444A2">
        <w:rPr>
          <w:rFonts w:ascii="Times New Roman" w:eastAsia="Times New Roman" w:hAnsi="Times New Roman" w:cs="Times New Roman"/>
          <w:lang w:val="es-EC"/>
        </w:rPr>
        <w:t xml:space="preserve"> el rol de todas las mujeres en la formulación, implementación y evaluación de las políticas públicas</w:t>
      </w:r>
      <w:r w:rsidRPr="009444A2">
        <w:rPr>
          <w:rFonts w:ascii="Times New Roman" w:hAnsi="Times New Roman" w:cs="Times New Roman"/>
          <w:color w:val="000000"/>
          <w:shd w:val="clear" w:color="auto" w:fill="FFFFFF"/>
        </w:rPr>
        <w:t>;</w:t>
      </w:r>
    </w:p>
    <w:p w14:paraId="0C62F4D6"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4B577D13"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 xml:space="preserve">RECONOCIENDO que las mujeres y niñas, incluyendo </w:t>
      </w:r>
      <w:r w:rsidRPr="009444A2">
        <w:rPr>
          <w:rFonts w:ascii="Times New Roman" w:eastAsia="Times New Roman" w:hAnsi="Times New Roman" w:cs="Times New Roman"/>
          <w:bCs/>
          <w:lang w:val="es-EC"/>
        </w:rPr>
        <w:t xml:space="preserve">personas en situación de vulnerabilidad, </w:t>
      </w:r>
      <w:r w:rsidRPr="009444A2">
        <w:rPr>
          <w:rFonts w:ascii="Times New Roman" w:eastAsia="Times New Roman" w:hAnsi="Times New Roman" w:cs="Times New Roman"/>
          <w:lang w:val="es-EC"/>
        </w:rPr>
        <w:t xml:space="preserve">están expuestas a formas múltiples y agravadas de discriminación, estando, así, particularmente vulnerables a la violencia sexual </w:t>
      </w:r>
      <w:r w:rsidRPr="009444A2">
        <w:rPr>
          <w:rFonts w:ascii="Times New Roman" w:eastAsia="Times New Roman" w:hAnsi="Times New Roman" w:cs="Times New Roman"/>
          <w:bCs/>
          <w:lang w:val="es-EC"/>
        </w:rPr>
        <w:t>y basada en género, en razón de la intersección de múltiples formas de discriminación, exclusión y desigualdad;</w:t>
      </w:r>
    </w:p>
    <w:p w14:paraId="766618BE"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45D01EDE"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RECORDANDO el 95 aniversario de la creación de la Comisión Interamericana de Mujeres y su importante misión, incluyendo la búsqueda de paridad de género en el ámbito laboral;</w:t>
      </w:r>
    </w:p>
    <w:p w14:paraId="5C3D0F93"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2D8B6DF1"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REAFIRMANDO los compromisos asumidos en la Convención de Belém do Pará para prevenir, sancionar y erradicar la violencia contra las mujeres, que incluye el acoso sexual en el lugar de trabajo como una forma de violencia contra las mujeres;</w:t>
      </w:r>
    </w:p>
    <w:p w14:paraId="590593D6"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4605580D" w14:textId="77777777" w:rsidR="009444A2" w:rsidRPr="009444A2" w:rsidRDefault="009444A2" w:rsidP="00D343A0">
      <w:pPr>
        <w:spacing w:after="0" w:line="240" w:lineRule="auto"/>
        <w:ind w:firstLine="720"/>
        <w:jc w:val="both"/>
        <w:rPr>
          <w:rFonts w:ascii="Times New Roman" w:hAnsi="Times New Roman" w:cs="Times New Roman"/>
          <w:color w:val="000000"/>
        </w:rPr>
      </w:pPr>
      <w:r w:rsidRPr="009444A2">
        <w:rPr>
          <w:rFonts w:ascii="Times New Roman" w:eastAsia="Times New Roman" w:hAnsi="Times New Roman" w:cs="Times New Roman"/>
          <w:lang w:val="es-EC"/>
        </w:rPr>
        <w:lastRenderedPageBreak/>
        <w:t>AFIRMANDO que la violencia basada en género socava los derechos humanos y las libertades fundamentales y limita, total o parcialmente, el ejercicio de tales derechos y libertades;</w:t>
      </w:r>
    </w:p>
    <w:p w14:paraId="699BEA2E" w14:textId="77777777" w:rsidR="004E183A" w:rsidRDefault="004E183A" w:rsidP="00D343A0">
      <w:pPr>
        <w:spacing w:after="0" w:line="240" w:lineRule="auto"/>
        <w:ind w:firstLine="720"/>
        <w:jc w:val="both"/>
        <w:rPr>
          <w:rFonts w:ascii="Times New Roman" w:eastAsia="Times New Roman" w:hAnsi="Times New Roman" w:cs="Times New Roman"/>
          <w:lang w:val="es-EC"/>
        </w:rPr>
      </w:pPr>
    </w:p>
    <w:p w14:paraId="363996E2" w14:textId="0A57E940"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DESTACANDO que la violencia basada en género es una ofensa a la dignidad humana y una manifestación de las relaciones de poder históricamente desiguales entre mujeres y hombres;</w:t>
      </w:r>
    </w:p>
    <w:p w14:paraId="5A5E1F50"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67E41747"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REAFIRMANDO la</w:t>
      </w:r>
      <w:r w:rsidRPr="009444A2">
        <w:rPr>
          <w:rFonts w:ascii="Times New Roman" w:eastAsia="Times New Roman" w:hAnsi="Times New Roman" w:cs="Times New Roman"/>
          <w:color w:val="FF0000"/>
          <w:lang w:val="es-EC"/>
        </w:rPr>
        <w:t xml:space="preserve"> </w:t>
      </w:r>
      <w:r w:rsidRPr="009444A2">
        <w:rPr>
          <w:rFonts w:ascii="Times New Roman" w:eastAsia="Times New Roman" w:hAnsi="Times New Roman" w:cs="Times New Roman"/>
          <w:lang w:val="es-EC"/>
        </w:rPr>
        <w:t>Declaración de la Organización Internacional del Trabajo sobre Principios y Derechos Fundamentales del Trabajo, en particular la obligación de los Estados miembros de la OIT en promover, respetar y realizar la eliminación de la discriminación en el empleo y la ocupación, y la promoción de un ambiente laboral seguro y saludable;</w:t>
      </w:r>
    </w:p>
    <w:p w14:paraId="345DE91E"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11C4F413" w14:textId="77777777" w:rsidR="009444A2" w:rsidRPr="009444A2" w:rsidRDefault="009444A2" w:rsidP="00D343A0">
      <w:pPr>
        <w:spacing w:after="0" w:line="240" w:lineRule="auto"/>
        <w:ind w:firstLine="720"/>
        <w:jc w:val="both"/>
        <w:rPr>
          <w:rFonts w:ascii="Times New Roman" w:hAnsi="Times New Roman" w:cs="Times New Roman"/>
          <w:color w:val="000000"/>
        </w:rPr>
      </w:pPr>
      <w:r w:rsidRPr="009444A2">
        <w:rPr>
          <w:rFonts w:ascii="Times New Roman" w:eastAsia="Times New Roman" w:hAnsi="Times New Roman" w:cs="Times New Roman"/>
          <w:lang w:val="es-EC"/>
        </w:rPr>
        <w:t>CONSIDERANDO que la lucha contra el acoso sexual es crucial para la permanencia de todas las mujeres en el ámbito laboral, la construcción de sus carreras y de su autonomía económica;</w:t>
      </w:r>
    </w:p>
    <w:p w14:paraId="4BD43E04"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285BF360"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TOMANDO EN CUENTA las directrices de la Orden Ejecutiva n° 15-02 de la Secretaría General sobre “Política y Sistema de Resolución de Conflictos para la Prevención y Eliminación de todas las formas de Acoso en el lugar de trabajo”, del 15 de octubre de 2015;</w:t>
      </w:r>
    </w:p>
    <w:p w14:paraId="6A946E22"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5B51FA66"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419"/>
        </w:rPr>
        <w:t>DESTACANDO la importancia de incorporar las mejores prácticas como normas, mecanismos de apoyo y esfuerzos generalizados para luchar contra este tipo de abuso en la OEA y en los Estados miembros;</w:t>
      </w:r>
    </w:p>
    <w:p w14:paraId="72FFF20B" w14:textId="77777777" w:rsidR="009444A2" w:rsidRPr="009444A2" w:rsidRDefault="009444A2" w:rsidP="00D343A0">
      <w:pPr>
        <w:spacing w:after="0" w:line="240" w:lineRule="auto"/>
        <w:jc w:val="both"/>
        <w:rPr>
          <w:rFonts w:ascii="Times New Roman" w:hAnsi="Times New Roman" w:cs="Times New Roman"/>
          <w:color w:val="000000"/>
          <w:shd w:val="clear" w:color="auto" w:fill="FFFFFF"/>
        </w:rPr>
      </w:pPr>
    </w:p>
    <w:p w14:paraId="5FF58BC7" w14:textId="6749D679" w:rsidR="009444A2" w:rsidRDefault="009444A2" w:rsidP="00D343A0">
      <w:pPr>
        <w:spacing w:after="0" w:line="240" w:lineRule="auto"/>
        <w:jc w:val="both"/>
        <w:rPr>
          <w:rFonts w:ascii="Times New Roman" w:eastAsia="Times New Roman" w:hAnsi="Times New Roman" w:cs="Times New Roman"/>
          <w:lang w:val="es-EC"/>
        </w:rPr>
      </w:pPr>
      <w:r w:rsidRPr="009444A2">
        <w:rPr>
          <w:rFonts w:ascii="Times New Roman" w:eastAsia="Times New Roman" w:hAnsi="Times New Roman" w:cs="Times New Roman"/>
          <w:lang w:val="es-EC"/>
        </w:rPr>
        <w:t>RESUELVE</w:t>
      </w:r>
      <w:r>
        <w:rPr>
          <w:rFonts w:ascii="Times New Roman" w:eastAsia="Times New Roman" w:hAnsi="Times New Roman" w:cs="Times New Roman"/>
          <w:lang w:val="es-EC"/>
        </w:rPr>
        <w:t>:</w:t>
      </w:r>
    </w:p>
    <w:p w14:paraId="16B5CEDB" w14:textId="77777777" w:rsidR="009444A2" w:rsidRPr="009444A2" w:rsidRDefault="009444A2" w:rsidP="00D343A0">
      <w:pPr>
        <w:spacing w:after="0" w:line="240" w:lineRule="auto"/>
        <w:jc w:val="both"/>
        <w:rPr>
          <w:rFonts w:ascii="Times New Roman" w:hAnsi="Times New Roman" w:cs="Times New Roman"/>
          <w:color w:val="000000"/>
          <w:shd w:val="clear" w:color="auto" w:fill="FFFFFF"/>
        </w:rPr>
      </w:pPr>
    </w:p>
    <w:p w14:paraId="6A002DD4" w14:textId="6CE334F3" w:rsidR="009444A2" w:rsidRPr="009444A2" w:rsidRDefault="009444A2" w:rsidP="00D343A0">
      <w:pPr>
        <w:pStyle w:val="ListParagraph"/>
        <w:numPr>
          <w:ilvl w:val="0"/>
          <w:numId w:val="7"/>
        </w:numPr>
        <w:spacing w:after="0" w:line="240" w:lineRule="auto"/>
        <w:ind w:left="0"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Incluir en las discusiones de la sesión extraordinaria del Consejo Permanente el día 28 de noviembre de 2023, en conmemoración al Día Internacional de la Eliminación de la Violencia contra la Mujer el 25 de noviembre de 2023, el intercambio de experiencias y conocimiento de buenas prácticas y dialogar sobre modos de fortalecer políticas públicas contra el acoso sexual en los Estados miembros de la OEA;</w:t>
      </w:r>
    </w:p>
    <w:p w14:paraId="23EB045F"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0A1368A3" w14:textId="5409894C" w:rsidR="009444A2" w:rsidRPr="009444A2" w:rsidRDefault="009444A2" w:rsidP="00D343A0">
      <w:pPr>
        <w:pStyle w:val="ListParagraph"/>
        <w:numPr>
          <w:ilvl w:val="0"/>
          <w:numId w:val="7"/>
        </w:numPr>
        <w:spacing w:after="0" w:line="240" w:lineRule="auto"/>
        <w:ind w:left="0" w:firstLine="720"/>
        <w:jc w:val="both"/>
        <w:rPr>
          <w:rFonts w:ascii="Times New Roman" w:hAnsi="Times New Roman" w:cs="Times New Roman"/>
          <w:color w:val="000000"/>
          <w:shd w:val="clear" w:color="auto" w:fill="FFFFFF"/>
        </w:rPr>
      </w:pPr>
      <w:r w:rsidRPr="009444A2">
        <w:rPr>
          <w:rFonts w:ascii="Times New Roman" w:eastAsia="Times New Roman" w:hAnsi="Times New Roman" w:cs="Times New Roman"/>
          <w:lang w:val="es-EC"/>
        </w:rPr>
        <w:t>Solicitar a la Secretaria Ejecutiva de la Comisión Interamericana de Mujeres (CIM) y la Secretaría Técnica del Mecanismo de Seguimiento de la Convención de Belém do Pará (MESECVI), en consultación con otras entidades relevantes de la OEA, que elaboren un compendio de buenas prácticas adoptadas por los gobiernos de la región en la lucha contra el acoso sexual. Este trabajo tendrá seguimiento por los Estados miembros y será sometido a este Consejo Permanente antes de la próxima Asamblea General;</w:t>
      </w:r>
    </w:p>
    <w:p w14:paraId="25A1EA91" w14:textId="77777777" w:rsidR="009444A2" w:rsidRPr="009444A2" w:rsidRDefault="009444A2" w:rsidP="00D343A0">
      <w:pPr>
        <w:spacing w:after="0" w:line="240" w:lineRule="auto"/>
        <w:ind w:firstLine="720"/>
        <w:jc w:val="both"/>
        <w:rPr>
          <w:rFonts w:ascii="Times New Roman" w:hAnsi="Times New Roman" w:cs="Times New Roman"/>
          <w:color w:val="000000"/>
          <w:shd w:val="clear" w:color="auto" w:fill="FFFFFF"/>
        </w:rPr>
      </w:pPr>
    </w:p>
    <w:p w14:paraId="4FB07CBD" w14:textId="0E9309C7" w:rsidR="009444A2" w:rsidRPr="009444A2" w:rsidRDefault="009444A2" w:rsidP="00D343A0">
      <w:pPr>
        <w:pStyle w:val="ListParagraph"/>
        <w:numPr>
          <w:ilvl w:val="0"/>
          <w:numId w:val="7"/>
        </w:numPr>
        <w:spacing w:after="0" w:line="240" w:lineRule="auto"/>
        <w:ind w:left="0" w:firstLine="720"/>
        <w:jc w:val="both"/>
        <w:rPr>
          <w:rFonts w:ascii="Times New Roman" w:hAnsi="Times New Roman" w:cs="Times New Roman"/>
        </w:rPr>
      </w:pPr>
      <w:r w:rsidRPr="009444A2">
        <w:rPr>
          <w:rFonts w:ascii="Times New Roman" w:eastAsia="Times New Roman" w:hAnsi="Times New Roman" w:cs="Times New Roman"/>
          <w:lang w:val="es-419"/>
        </w:rPr>
        <w:t>Solicitar a la Secretaría General que analice y actualice las reglas relevantes de la OEA en lo que corresponda a la prevención, combate y sanción al acoso sexual buscando alinearlas a las mejores prácticas de los sistemas Interamericano y de Naciones Unidas; y presentar un informe sobre los resultados del ejercicio al Consejo Permanente en el plazo de 6 meses desde la aprobación de esta resolución.</w:t>
      </w:r>
    </w:p>
    <w:p w14:paraId="39F14EF9" w14:textId="77777777" w:rsidR="002C1AFC" w:rsidRDefault="002C1AFC" w:rsidP="00D343A0">
      <w:pPr>
        <w:spacing w:after="0" w:line="240" w:lineRule="auto"/>
        <w:ind w:firstLine="720"/>
        <w:rPr>
          <w:noProof/>
        </w:rPr>
      </w:pPr>
    </w:p>
    <w:p w14:paraId="7EAB7C00" w14:textId="77777777" w:rsidR="004E183A" w:rsidRDefault="004E183A">
      <w:pPr>
        <w:rPr>
          <w:rFonts w:ascii="Times New Roman" w:eastAsia="Times New Roman" w:hAnsi="Times New Roman" w:cs="Times New Roman"/>
        </w:rPr>
      </w:pPr>
      <w:r>
        <w:rPr>
          <w:rFonts w:ascii="Times New Roman" w:eastAsia="Times New Roman" w:hAnsi="Times New Roman" w:cs="Times New Roman"/>
        </w:rPr>
        <w:br w:type="page"/>
      </w:r>
    </w:p>
    <w:p w14:paraId="3A66D790" w14:textId="0C3F7ECA" w:rsidR="004E183A" w:rsidRDefault="004E183A" w:rsidP="004E18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NOTA A PIE DE PÁGINA</w:t>
      </w:r>
    </w:p>
    <w:p w14:paraId="40491289" w14:textId="77777777" w:rsidR="004E183A" w:rsidRDefault="004E183A" w:rsidP="004E183A">
      <w:pPr>
        <w:spacing w:after="0" w:line="240" w:lineRule="auto"/>
        <w:rPr>
          <w:rFonts w:ascii="Times New Roman" w:eastAsia="Times New Roman" w:hAnsi="Times New Roman" w:cs="Times New Roman"/>
        </w:rPr>
      </w:pPr>
    </w:p>
    <w:p w14:paraId="721D6FEE" w14:textId="77777777" w:rsidR="004E183A" w:rsidRDefault="004E183A" w:rsidP="004E183A">
      <w:pPr>
        <w:spacing w:after="0" w:line="240" w:lineRule="auto"/>
        <w:rPr>
          <w:rFonts w:ascii="Times New Roman" w:eastAsia="Times New Roman" w:hAnsi="Times New Roman" w:cs="Times New Roman"/>
        </w:rPr>
      </w:pPr>
    </w:p>
    <w:p w14:paraId="73D9C260" w14:textId="731FE28D" w:rsidR="009444A2" w:rsidRPr="004E183A" w:rsidRDefault="002C1AFC" w:rsidP="004E183A">
      <w:pPr>
        <w:spacing w:after="0" w:line="240" w:lineRule="auto"/>
        <w:ind w:firstLine="720"/>
        <w:jc w:val="both"/>
        <w:rPr>
          <w:rFonts w:ascii="Times New Roman" w:eastAsia="Times New Roman" w:hAnsi="Times New Roman" w:cs="Times New Roman"/>
          <w:sz w:val="20"/>
          <w:szCs w:val="20"/>
        </w:rPr>
      </w:pPr>
      <w:r w:rsidRPr="004E183A">
        <w:rPr>
          <w:noProof/>
          <w:sz w:val="20"/>
          <w:szCs w:val="20"/>
        </w:rPr>
        <w:drawing>
          <wp:anchor distT="0" distB="0" distL="114300" distR="114300" simplePos="0" relativeHeight="251657728" behindDoc="0" locked="0" layoutInCell="1" allowOverlap="1" wp14:anchorId="63C4A500" wp14:editId="7F57CC83">
            <wp:simplePos x="0" y="0"/>
            <wp:positionH relativeFrom="column">
              <wp:posOffset>5321545</wp:posOffset>
            </wp:positionH>
            <wp:positionV relativeFrom="page">
              <wp:posOffset>8883015</wp:posOffset>
            </wp:positionV>
            <wp:extent cx="713105" cy="713105"/>
            <wp:effectExtent l="0" t="0" r="0" b="0"/>
            <wp:wrapNone/>
            <wp:docPr id="174197354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73541" name="Picture 1"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page">
              <wp14:pctWidth>0</wp14:pctWidth>
            </wp14:sizeRelH>
            <wp14:sizeRelV relativeFrom="page">
              <wp14:pctHeight>0</wp14:pctHeight>
            </wp14:sizeRelV>
          </wp:anchor>
        </w:drawing>
      </w:r>
      <w:r w:rsidR="009444A2" w:rsidRPr="004E183A">
        <w:rPr>
          <w:rFonts w:ascii="Times New Roman" w:eastAsia="Times New Roman" w:hAnsi="Times New Roman" w:cs="Times New Roman"/>
          <w:noProof/>
          <w:sz w:val="20"/>
          <w:szCs w:val="20"/>
        </w:rPr>
        <mc:AlternateContent>
          <mc:Choice Requires="wps">
            <w:drawing>
              <wp:anchor distT="0" distB="0" distL="114300" distR="114300" simplePos="0" relativeHeight="251656704" behindDoc="0" locked="1" layoutInCell="1" allowOverlap="1" wp14:anchorId="12C94591" wp14:editId="75036DA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F51771" w14:textId="7DD6A0BE" w:rsidR="009444A2" w:rsidRPr="009444A2" w:rsidRDefault="009444A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E183A">
                              <w:rPr>
                                <w:rFonts w:ascii="Times New Roman" w:hAnsi="Times New Roman" w:cs="Times New Roman"/>
                                <w:noProof/>
                                <w:sz w:val="18"/>
                              </w:rPr>
                              <w:t>CP48818S01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9459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4F51771" w14:textId="7DD6A0BE" w:rsidR="009444A2" w:rsidRPr="009444A2" w:rsidRDefault="009444A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E183A">
                        <w:rPr>
                          <w:rFonts w:ascii="Times New Roman" w:hAnsi="Times New Roman" w:cs="Times New Roman"/>
                          <w:noProof/>
                          <w:sz w:val="18"/>
                        </w:rPr>
                        <w:t>CP48818S01</w:t>
                      </w:r>
                      <w:r>
                        <w:rPr>
                          <w:rFonts w:ascii="Times New Roman" w:hAnsi="Times New Roman" w:cs="Times New Roman"/>
                          <w:sz w:val="18"/>
                        </w:rPr>
                        <w:fldChar w:fldCharType="end"/>
                      </w:r>
                    </w:p>
                  </w:txbxContent>
                </v:textbox>
                <w10:wrap anchory="page"/>
                <w10:anchorlock/>
              </v:shape>
            </w:pict>
          </mc:Fallback>
        </mc:AlternateContent>
      </w:r>
      <w:r w:rsidR="004E183A" w:rsidRPr="004E183A">
        <w:rPr>
          <w:rFonts w:ascii="Times New Roman" w:eastAsia="Times New Roman" w:hAnsi="Times New Roman" w:cs="Times New Roman"/>
          <w:sz w:val="20"/>
          <w:szCs w:val="20"/>
        </w:rPr>
        <w:t>1.</w:t>
      </w:r>
      <w:r w:rsidR="004E183A" w:rsidRPr="004E183A">
        <w:rPr>
          <w:rFonts w:ascii="Times New Roman" w:eastAsia="Times New Roman" w:hAnsi="Times New Roman" w:cs="Times New Roman"/>
          <w:sz w:val="20"/>
          <w:szCs w:val="20"/>
        </w:rPr>
        <w:tab/>
        <w:t>…</w:t>
      </w:r>
      <w:r w:rsidR="004E183A" w:rsidRPr="004E183A">
        <w:rPr>
          <w:rStyle w:val="style2"/>
          <w:rFonts w:ascii="Times New Roman" w:hAnsi="Times New Roman"/>
          <w:sz w:val="20"/>
          <w:szCs w:val="20"/>
        </w:rPr>
        <w:t xml:space="preserve"> </w:t>
      </w:r>
      <w:r w:rsidR="004E183A" w:rsidRPr="004E183A">
        <w:rPr>
          <w:rStyle w:val="FootnoteReference"/>
          <w:rFonts w:ascii="Times New Roman" w:hAnsi="Times New Roman"/>
          <w:sz w:val="20"/>
          <w:szCs w:val="20"/>
          <w:vertAlign w:val="baseline"/>
        </w:rPr>
        <w:t xml:space="preserve">su </w:t>
      </w:r>
      <w:r w:rsidR="004E183A" w:rsidRPr="004E183A">
        <w:rPr>
          <w:rFonts w:ascii="Times New Roman" w:hAnsi="Times New Roman"/>
          <w:sz w:val="20"/>
          <w:szCs w:val="20"/>
        </w:rPr>
        <w:t>continua participación con el</w:t>
      </w:r>
      <w:r w:rsidR="004E183A" w:rsidRPr="004E183A">
        <w:rPr>
          <w:rStyle w:val="FootnoteReference"/>
          <w:rFonts w:ascii="Times New Roman" w:hAnsi="Times New Roman"/>
          <w:sz w:val="20"/>
          <w:szCs w:val="20"/>
          <w:vertAlign w:val="baseline"/>
        </w:rPr>
        <w:t xml:space="preserve"> Mecanismo de Seguimiento </w:t>
      </w:r>
      <w:r w:rsidR="004E183A" w:rsidRPr="004E183A">
        <w:rPr>
          <w:rFonts w:ascii="Times New Roman" w:hAnsi="Times New Roman"/>
          <w:sz w:val="20"/>
          <w:szCs w:val="20"/>
        </w:rPr>
        <w:t xml:space="preserve">de la Implementación </w:t>
      </w:r>
      <w:r w:rsidR="004E183A" w:rsidRPr="004E183A">
        <w:rPr>
          <w:rStyle w:val="FootnoteReference"/>
          <w:rFonts w:ascii="Times New Roman" w:hAnsi="Times New Roman"/>
          <w:sz w:val="20"/>
          <w:szCs w:val="20"/>
          <w:vertAlign w:val="baseline"/>
        </w:rPr>
        <w:t xml:space="preserve">de la Convención de Belém do Pará (MESECVI), </w:t>
      </w:r>
      <w:r w:rsidR="004E183A" w:rsidRPr="004E183A">
        <w:rPr>
          <w:rFonts w:ascii="Times New Roman" w:hAnsi="Times New Roman"/>
          <w:sz w:val="20"/>
          <w:szCs w:val="20"/>
        </w:rPr>
        <w:t>de la cual</w:t>
      </w:r>
      <w:r w:rsidR="004E183A" w:rsidRPr="004E183A">
        <w:rPr>
          <w:rStyle w:val="FootnoteReference"/>
          <w:rFonts w:ascii="Times New Roman" w:hAnsi="Times New Roman"/>
          <w:sz w:val="20"/>
          <w:szCs w:val="20"/>
          <w:vertAlign w:val="baseline"/>
        </w:rPr>
        <w:t xml:space="preserve"> Trinidad y Tobago es signatario, </w:t>
      </w:r>
      <w:r w:rsidR="004E183A" w:rsidRPr="004E183A">
        <w:rPr>
          <w:rFonts w:ascii="Times New Roman" w:hAnsi="Times New Roman"/>
          <w:sz w:val="20"/>
          <w:szCs w:val="20"/>
        </w:rPr>
        <w:t>así como</w:t>
      </w:r>
      <w:r w:rsidR="004E183A" w:rsidRPr="004E183A">
        <w:rPr>
          <w:rStyle w:val="FootnoteReference"/>
          <w:rFonts w:ascii="Times New Roman" w:hAnsi="Times New Roman"/>
          <w:sz w:val="20"/>
          <w:szCs w:val="20"/>
          <w:vertAlign w:val="baseline"/>
        </w:rPr>
        <w:t xml:space="preserve"> sus contribuciones voluntarias anuales</w:t>
      </w:r>
      <w:r w:rsidR="004E183A" w:rsidRPr="004E183A">
        <w:rPr>
          <w:rFonts w:ascii="Times New Roman" w:hAnsi="Times New Roman"/>
          <w:sz w:val="20"/>
          <w:szCs w:val="20"/>
        </w:rPr>
        <w:t xml:space="preserve"> al Mecanismo</w:t>
      </w:r>
      <w:r w:rsidR="004E183A" w:rsidRPr="004E183A">
        <w:rPr>
          <w:rStyle w:val="FootnoteReference"/>
          <w:rFonts w:ascii="Times New Roman" w:hAnsi="Times New Roman"/>
          <w:sz w:val="20"/>
          <w:szCs w:val="20"/>
          <w:vertAlign w:val="baseline"/>
        </w:rPr>
        <w:t xml:space="preserve">. Además, la </w:t>
      </w:r>
      <w:r w:rsidR="004E183A" w:rsidRPr="004E183A">
        <w:rPr>
          <w:rFonts w:ascii="Times New Roman" w:hAnsi="Times New Roman"/>
          <w:sz w:val="20"/>
          <w:szCs w:val="20"/>
        </w:rPr>
        <w:t>r</w:t>
      </w:r>
      <w:r w:rsidR="004E183A" w:rsidRPr="004E183A">
        <w:rPr>
          <w:rStyle w:val="FootnoteReference"/>
          <w:rFonts w:ascii="Times New Roman" w:hAnsi="Times New Roman"/>
          <w:sz w:val="20"/>
          <w:szCs w:val="20"/>
          <w:vertAlign w:val="baseline"/>
        </w:rPr>
        <w:t xml:space="preserve">esolución CP/RES.1235: </w:t>
      </w:r>
      <w:r w:rsidR="004E183A" w:rsidRPr="004E183A">
        <w:rPr>
          <w:rFonts w:ascii="Times New Roman" w:hAnsi="Times New Roman"/>
          <w:sz w:val="20"/>
          <w:szCs w:val="20"/>
        </w:rPr>
        <w:t>“</w:t>
      </w:r>
      <w:r w:rsidR="004E183A" w:rsidRPr="004E183A">
        <w:rPr>
          <w:rStyle w:val="FootnoteReference"/>
          <w:rFonts w:ascii="Times New Roman" w:hAnsi="Times New Roman"/>
          <w:sz w:val="20"/>
          <w:szCs w:val="20"/>
          <w:vertAlign w:val="baseline"/>
        </w:rPr>
        <w:t>Promoción y fortalecimiento de buenas prácticas en materia de lucha contra el acoso sexual</w:t>
      </w:r>
      <w:r w:rsidR="004E183A" w:rsidRPr="004E183A">
        <w:rPr>
          <w:rFonts w:ascii="Times New Roman" w:hAnsi="Times New Roman"/>
          <w:sz w:val="20"/>
          <w:szCs w:val="20"/>
        </w:rPr>
        <w:t>”</w:t>
      </w:r>
      <w:r w:rsidR="004E183A" w:rsidRPr="004E183A">
        <w:rPr>
          <w:rStyle w:val="FootnoteReference"/>
          <w:rFonts w:ascii="Times New Roman" w:hAnsi="Times New Roman"/>
          <w:sz w:val="20"/>
          <w:szCs w:val="20"/>
          <w:vertAlign w:val="baseline"/>
        </w:rPr>
        <w:t xml:space="preserve"> </w:t>
      </w:r>
      <w:r w:rsidR="004E183A" w:rsidRPr="004E183A">
        <w:rPr>
          <w:rFonts w:ascii="Times New Roman" w:hAnsi="Times New Roman"/>
          <w:sz w:val="20"/>
          <w:szCs w:val="20"/>
        </w:rPr>
        <w:t>coincide con</w:t>
      </w:r>
      <w:r w:rsidR="004E183A" w:rsidRPr="004E183A">
        <w:rPr>
          <w:rStyle w:val="FootnoteReference"/>
          <w:rFonts w:ascii="Times New Roman" w:hAnsi="Times New Roman"/>
          <w:sz w:val="20"/>
          <w:szCs w:val="20"/>
          <w:vertAlign w:val="baseline"/>
        </w:rPr>
        <w:t xml:space="preserve"> la intención y </w:t>
      </w:r>
      <w:r w:rsidR="004E183A" w:rsidRPr="004E183A">
        <w:rPr>
          <w:rFonts w:ascii="Times New Roman" w:hAnsi="Times New Roman"/>
          <w:sz w:val="20"/>
          <w:szCs w:val="20"/>
        </w:rPr>
        <w:t xml:space="preserve">los </w:t>
      </w:r>
      <w:r w:rsidR="004E183A" w:rsidRPr="004E183A">
        <w:rPr>
          <w:rStyle w:val="FootnoteReference"/>
          <w:rFonts w:ascii="Times New Roman" w:hAnsi="Times New Roman"/>
          <w:sz w:val="20"/>
          <w:szCs w:val="20"/>
          <w:vertAlign w:val="baseline"/>
        </w:rPr>
        <w:t xml:space="preserve">objetivos de la sesión extraordinaria del Consejo Permanente celebrada el 22 de febrero de 2023 </w:t>
      </w:r>
      <w:r w:rsidR="004E183A" w:rsidRPr="004E183A">
        <w:rPr>
          <w:rFonts w:ascii="Times New Roman" w:hAnsi="Times New Roman"/>
          <w:sz w:val="20"/>
          <w:szCs w:val="20"/>
        </w:rPr>
        <w:t>con motivo</w:t>
      </w:r>
      <w:r w:rsidR="004E183A" w:rsidRPr="004E183A">
        <w:rPr>
          <w:rStyle w:val="FootnoteReference"/>
          <w:rFonts w:ascii="Times New Roman" w:hAnsi="Times New Roman"/>
          <w:sz w:val="20"/>
          <w:szCs w:val="20"/>
          <w:vertAlign w:val="baseline"/>
        </w:rPr>
        <w:t xml:space="preserve"> del Día Mundial de la Justicia Social, y</w:t>
      </w:r>
      <w:r w:rsidR="004E183A" w:rsidRPr="004E183A">
        <w:rPr>
          <w:rFonts w:ascii="Times New Roman" w:hAnsi="Times New Roman"/>
          <w:sz w:val="20"/>
          <w:szCs w:val="20"/>
        </w:rPr>
        <w:t xml:space="preserve"> está de acuerdo</w:t>
      </w:r>
      <w:r w:rsidR="004E183A" w:rsidRPr="004E183A">
        <w:rPr>
          <w:rStyle w:val="FootnoteReference"/>
          <w:rFonts w:ascii="Times New Roman" w:hAnsi="Times New Roman"/>
          <w:sz w:val="20"/>
          <w:szCs w:val="20"/>
          <w:vertAlign w:val="baseline"/>
        </w:rPr>
        <w:t xml:space="preserve"> con el espíritu y </w:t>
      </w:r>
      <w:r w:rsidR="004E183A" w:rsidRPr="004E183A">
        <w:rPr>
          <w:rFonts w:ascii="Times New Roman" w:hAnsi="Times New Roman"/>
          <w:sz w:val="20"/>
          <w:szCs w:val="20"/>
        </w:rPr>
        <w:t xml:space="preserve">la </w:t>
      </w:r>
      <w:r w:rsidR="004E183A" w:rsidRPr="004E183A">
        <w:rPr>
          <w:rStyle w:val="FootnoteReference"/>
          <w:rFonts w:ascii="Times New Roman" w:hAnsi="Times New Roman"/>
          <w:sz w:val="20"/>
          <w:szCs w:val="20"/>
          <w:vertAlign w:val="baseline"/>
        </w:rPr>
        <w:t xml:space="preserve">letra de la </w:t>
      </w:r>
      <w:r w:rsidR="004E183A" w:rsidRPr="004E183A">
        <w:rPr>
          <w:rFonts w:ascii="Times New Roman" w:hAnsi="Times New Roman"/>
          <w:sz w:val="20"/>
          <w:szCs w:val="20"/>
        </w:rPr>
        <w:t>d</w:t>
      </w:r>
      <w:r w:rsidR="004E183A" w:rsidRPr="004E183A">
        <w:rPr>
          <w:rStyle w:val="FootnoteReference"/>
          <w:rFonts w:ascii="Times New Roman" w:hAnsi="Times New Roman"/>
          <w:sz w:val="20"/>
          <w:szCs w:val="20"/>
          <w:vertAlign w:val="baseline"/>
        </w:rPr>
        <w:t xml:space="preserve">eclaración CP/DEC.79/23, aprobada por consenso el 29 de marzo de 2023. </w:t>
      </w:r>
      <w:r w:rsidR="004E183A" w:rsidRPr="004E183A">
        <w:rPr>
          <w:rFonts w:ascii="Times New Roman" w:hAnsi="Times New Roman"/>
          <w:sz w:val="20"/>
          <w:szCs w:val="20"/>
        </w:rPr>
        <w:t xml:space="preserve">Sin perjuicio de </w:t>
      </w:r>
      <w:r w:rsidR="004E183A" w:rsidRPr="004E183A">
        <w:rPr>
          <w:rStyle w:val="FootnoteReference"/>
          <w:rFonts w:ascii="Times New Roman" w:hAnsi="Times New Roman"/>
          <w:sz w:val="20"/>
          <w:szCs w:val="20"/>
          <w:vertAlign w:val="baseline"/>
        </w:rPr>
        <w:t xml:space="preserve">lo anterior, esta delegación se ve obligada a informar que, a pesar de su apoyo general a la lucha contra el acoso sexual, y su determinación </w:t>
      </w:r>
      <w:r w:rsidR="004E183A" w:rsidRPr="004E183A">
        <w:rPr>
          <w:rFonts w:ascii="Times New Roman" w:hAnsi="Times New Roman"/>
          <w:sz w:val="20"/>
          <w:szCs w:val="20"/>
        </w:rPr>
        <w:t>de llevar adelante</w:t>
      </w:r>
      <w:r w:rsidR="004E183A" w:rsidRPr="004E183A">
        <w:rPr>
          <w:rStyle w:val="FootnoteReference"/>
          <w:rFonts w:ascii="Times New Roman" w:hAnsi="Times New Roman"/>
          <w:sz w:val="20"/>
          <w:szCs w:val="20"/>
          <w:vertAlign w:val="baseline"/>
        </w:rPr>
        <w:t xml:space="preserve"> la agenda más amplia de avan</w:t>
      </w:r>
      <w:r w:rsidR="004E183A" w:rsidRPr="004E183A">
        <w:rPr>
          <w:rFonts w:ascii="Times New Roman" w:hAnsi="Times New Roman"/>
          <w:sz w:val="20"/>
          <w:szCs w:val="20"/>
        </w:rPr>
        <w:t>ce</w:t>
      </w:r>
      <w:r w:rsidR="004E183A" w:rsidRPr="004E183A">
        <w:rPr>
          <w:rStyle w:val="FootnoteReference"/>
          <w:rFonts w:ascii="Times New Roman" w:hAnsi="Times New Roman"/>
          <w:sz w:val="20"/>
          <w:szCs w:val="20"/>
          <w:vertAlign w:val="baseline"/>
        </w:rPr>
        <w:t xml:space="preserve"> en justicia social y equidad en las Américas, Trinidad y Tobago no puede unirse al consenso</w:t>
      </w:r>
      <w:r w:rsidR="004E183A" w:rsidRPr="004E183A">
        <w:rPr>
          <w:rFonts w:ascii="Times New Roman" w:hAnsi="Times New Roman"/>
          <w:sz w:val="20"/>
          <w:szCs w:val="20"/>
        </w:rPr>
        <w:t>,</w:t>
      </w:r>
      <w:r w:rsidR="004E183A" w:rsidRPr="004E183A">
        <w:rPr>
          <w:rStyle w:val="FootnoteReference"/>
          <w:rFonts w:ascii="Times New Roman" w:hAnsi="Times New Roman"/>
          <w:sz w:val="20"/>
          <w:szCs w:val="20"/>
          <w:vertAlign w:val="baseline"/>
        </w:rPr>
        <w:t xml:space="preserve"> específicamente </w:t>
      </w:r>
      <w:r w:rsidR="004E183A" w:rsidRPr="004E183A">
        <w:rPr>
          <w:rFonts w:ascii="Times New Roman" w:hAnsi="Times New Roman"/>
          <w:sz w:val="20"/>
          <w:szCs w:val="20"/>
        </w:rPr>
        <w:t xml:space="preserve">en lo que respecta al </w:t>
      </w:r>
      <w:r w:rsidR="004E183A" w:rsidRPr="004E183A">
        <w:rPr>
          <w:rStyle w:val="FootnoteReference"/>
          <w:rFonts w:ascii="Times New Roman" w:hAnsi="Times New Roman"/>
          <w:sz w:val="20"/>
          <w:szCs w:val="20"/>
          <w:vertAlign w:val="baseline"/>
        </w:rPr>
        <w:t xml:space="preserve">párrafo 2 del preámbulo, que se refiere a la Convención Americana sobre Derechos Humanos, </w:t>
      </w:r>
      <w:r w:rsidR="004E183A" w:rsidRPr="004E183A">
        <w:rPr>
          <w:rFonts w:ascii="Times New Roman" w:hAnsi="Times New Roman"/>
          <w:sz w:val="20"/>
          <w:szCs w:val="20"/>
        </w:rPr>
        <w:t>con respecto a la cual</w:t>
      </w:r>
      <w:r w:rsidR="004E183A" w:rsidRPr="004E183A">
        <w:rPr>
          <w:rStyle w:val="FootnoteReference"/>
          <w:rFonts w:ascii="Times New Roman" w:hAnsi="Times New Roman"/>
          <w:sz w:val="20"/>
          <w:szCs w:val="20"/>
          <w:vertAlign w:val="baseline"/>
        </w:rPr>
        <w:t xml:space="preserve"> Trinidad y Tobago </w:t>
      </w:r>
      <w:r w:rsidR="004E183A" w:rsidRPr="004E183A">
        <w:rPr>
          <w:rFonts w:ascii="Times New Roman" w:hAnsi="Times New Roman"/>
          <w:sz w:val="20"/>
          <w:szCs w:val="20"/>
        </w:rPr>
        <w:t>se pronunció en desacuerdo</w:t>
      </w:r>
      <w:r w:rsidR="004E183A" w:rsidRPr="004E183A">
        <w:rPr>
          <w:rStyle w:val="FootnoteReference"/>
          <w:rFonts w:ascii="Times New Roman" w:hAnsi="Times New Roman"/>
          <w:sz w:val="20"/>
          <w:szCs w:val="20"/>
          <w:vertAlign w:val="baseline"/>
        </w:rPr>
        <w:t xml:space="preserve"> el 26 de mayo de 1998, y que entró en vigor el 26 de mayo de 1999.</w:t>
      </w:r>
    </w:p>
    <w:sectPr w:rsidR="009444A2" w:rsidRPr="004E183A" w:rsidSect="00A22724">
      <w:headerReference w:type="default" r:id="rId11"/>
      <w:type w:val="oddPage"/>
      <w:pgSz w:w="12240" w:h="15840"/>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4819" w14:textId="77777777" w:rsidR="000767C9" w:rsidRPr="003A7AF2" w:rsidRDefault="000767C9" w:rsidP="000F0EEB">
      <w:pPr>
        <w:spacing w:after="0" w:line="240" w:lineRule="auto"/>
        <w:rPr>
          <w:noProof/>
        </w:rPr>
      </w:pPr>
      <w:r w:rsidRPr="003A7AF2">
        <w:rPr>
          <w:noProof/>
        </w:rPr>
        <w:separator/>
      </w:r>
    </w:p>
  </w:endnote>
  <w:endnote w:type="continuationSeparator" w:id="0">
    <w:p w14:paraId="7B060521" w14:textId="77777777" w:rsidR="000767C9" w:rsidRPr="003A7AF2" w:rsidRDefault="000767C9" w:rsidP="000F0EEB">
      <w:pPr>
        <w:spacing w:after="0" w:line="240" w:lineRule="auto"/>
        <w:rPr>
          <w:noProof/>
        </w:rPr>
      </w:pPr>
      <w:r w:rsidRPr="003A7AF2">
        <w:rPr>
          <w:noProof/>
        </w:rPr>
        <w:continuationSeparator/>
      </w:r>
    </w:p>
  </w:endnote>
  <w:endnote w:type="continuationNotice" w:id="1">
    <w:p w14:paraId="5F23BE38" w14:textId="77777777" w:rsidR="000767C9" w:rsidRDefault="00076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57E5" w14:textId="77777777" w:rsidR="000767C9" w:rsidRPr="003A7AF2" w:rsidRDefault="000767C9" w:rsidP="000F0EEB">
      <w:pPr>
        <w:spacing w:after="0" w:line="240" w:lineRule="auto"/>
        <w:rPr>
          <w:noProof/>
        </w:rPr>
      </w:pPr>
      <w:r w:rsidRPr="003A7AF2">
        <w:rPr>
          <w:noProof/>
        </w:rPr>
        <w:separator/>
      </w:r>
    </w:p>
  </w:footnote>
  <w:footnote w:type="continuationSeparator" w:id="0">
    <w:p w14:paraId="53779EB8" w14:textId="77777777" w:rsidR="000767C9" w:rsidRPr="003A7AF2" w:rsidRDefault="000767C9" w:rsidP="000F0EEB">
      <w:pPr>
        <w:spacing w:after="0" w:line="240" w:lineRule="auto"/>
        <w:rPr>
          <w:noProof/>
        </w:rPr>
      </w:pPr>
      <w:r w:rsidRPr="003A7AF2">
        <w:rPr>
          <w:noProof/>
        </w:rPr>
        <w:continuationSeparator/>
      </w:r>
    </w:p>
  </w:footnote>
  <w:footnote w:type="continuationNotice" w:id="1">
    <w:p w14:paraId="32F0DAF0" w14:textId="77777777" w:rsidR="000767C9" w:rsidRDefault="000767C9">
      <w:pPr>
        <w:spacing w:after="0" w:line="240" w:lineRule="auto"/>
      </w:pPr>
    </w:p>
  </w:footnote>
  <w:footnote w:id="2">
    <w:p w14:paraId="1439AA38" w14:textId="60467734" w:rsidR="004E183A" w:rsidRPr="004E183A" w:rsidRDefault="004E183A" w:rsidP="004E183A">
      <w:pPr>
        <w:pStyle w:val="FootnoteText"/>
        <w:ind w:left="720" w:hanging="360"/>
        <w:rPr>
          <w:rFonts w:ascii="Times New Roman" w:hAnsi="Times New Roman" w:cs="Times New Roman"/>
        </w:rPr>
      </w:pPr>
      <w:r w:rsidRPr="004E183A">
        <w:rPr>
          <w:rStyle w:val="FootnoteReference"/>
          <w:rFonts w:ascii="Times New Roman" w:hAnsi="Times New Roman" w:cs="Times New Roman"/>
          <w:vertAlign w:val="baseline"/>
        </w:rPr>
        <w:footnoteRef/>
      </w:r>
      <w:r w:rsidRPr="004E183A">
        <w:rPr>
          <w:rFonts w:ascii="Times New Roman" w:hAnsi="Times New Roman" w:cs="Times New Roman"/>
        </w:rPr>
        <w:t>.</w:t>
      </w:r>
      <w:r w:rsidRPr="004E183A">
        <w:rPr>
          <w:rFonts w:ascii="Times New Roman" w:hAnsi="Times New Roman" w:cs="Times New Roman"/>
        </w:rPr>
        <w:tab/>
      </w:r>
      <w:r w:rsidRPr="004E183A">
        <w:rPr>
          <w:rStyle w:val="FootnoteReference"/>
          <w:rFonts w:ascii="Times New Roman" w:hAnsi="Times New Roman"/>
          <w:vertAlign w:val="baseline"/>
        </w:rPr>
        <w:t>El Gobierno de la República de Trinidad y Tobago sigue comprometido con la lucha contra el acoso sexual y la eliminación de la violencia contra las mujeres y niñas, como lo demuestra</w:t>
      </w:r>
      <w:r>
        <w:rPr>
          <w:rFonts w:ascii="Times New Roman" w:hAnsi="Times New Roman" w:cs="Times New Roman"/>
        </w:rPr>
        <w:t>…</w:t>
      </w:r>
      <w:r w:rsidRPr="004E183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6524"/>
      <w:docPartObj>
        <w:docPartGallery w:val="Page Numbers (Top of Page)"/>
        <w:docPartUnique/>
      </w:docPartObj>
    </w:sdtPr>
    <w:sdtEndPr>
      <w:rPr>
        <w:rFonts w:ascii="Times New Roman" w:hAnsi="Times New Roman" w:cs="Times New Roman"/>
        <w:noProof/>
      </w:rPr>
    </w:sdtEndPr>
    <w:sdtContent>
      <w:p w14:paraId="04F215EB" w14:textId="193016ED" w:rsidR="00A22724" w:rsidRPr="00A22724" w:rsidRDefault="00A22724">
        <w:pPr>
          <w:pStyle w:val="Header"/>
          <w:jc w:val="center"/>
          <w:rPr>
            <w:rFonts w:ascii="Times New Roman" w:hAnsi="Times New Roman" w:cs="Times New Roman"/>
          </w:rPr>
        </w:pPr>
        <w:r>
          <w:t xml:space="preserve">- </w:t>
        </w:r>
        <w:r w:rsidRPr="00A22724">
          <w:rPr>
            <w:rFonts w:ascii="Times New Roman" w:hAnsi="Times New Roman" w:cs="Times New Roman"/>
          </w:rPr>
          <w:fldChar w:fldCharType="begin"/>
        </w:r>
        <w:r w:rsidRPr="00A22724">
          <w:rPr>
            <w:rFonts w:ascii="Times New Roman" w:hAnsi="Times New Roman" w:cs="Times New Roman"/>
          </w:rPr>
          <w:instrText xml:space="preserve"> PAGE   \* MERGEFORMAT </w:instrText>
        </w:r>
        <w:r w:rsidRPr="00A22724">
          <w:rPr>
            <w:rFonts w:ascii="Times New Roman" w:hAnsi="Times New Roman" w:cs="Times New Roman"/>
          </w:rPr>
          <w:fldChar w:fldCharType="separate"/>
        </w:r>
        <w:r w:rsidRPr="00A22724">
          <w:rPr>
            <w:rFonts w:ascii="Times New Roman" w:hAnsi="Times New Roman" w:cs="Times New Roman"/>
            <w:noProof/>
          </w:rPr>
          <w:t>2</w:t>
        </w:r>
        <w:r w:rsidRPr="00A22724">
          <w:rPr>
            <w:rFonts w:ascii="Times New Roman" w:hAnsi="Times New Roman" w:cs="Times New Roman"/>
            <w:noProof/>
          </w:rPr>
          <w:fldChar w:fldCharType="end"/>
        </w:r>
        <w:r>
          <w:rPr>
            <w:rFonts w:ascii="Times New Roman" w:hAnsi="Times New Roman" w:cs="Times New Roman"/>
            <w:noProof/>
          </w:rPr>
          <w:t xml:space="preserve"> -</w:t>
        </w:r>
      </w:p>
    </w:sdtContent>
  </w:sdt>
  <w:p w14:paraId="5B005655" w14:textId="77777777" w:rsidR="002C1AFC" w:rsidRDefault="002C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5.1pt;height:15.1pt;visibility:visible;mso-wrap-style:square" o:bullet="t">
        <v:imagedata r:id="rId1" o:title=""/>
      </v:shape>
    </w:pict>
  </w:numPicBullet>
  <w:abstractNum w:abstractNumId="0" w15:restartNumberingAfterBreak="0">
    <w:nsid w:val="269731DA"/>
    <w:multiLevelType w:val="hybridMultilevel"/>
    <w:tmpl w:val="D278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80396"/>
    <w:multiLevelType w:val="hybridMultilevel"/>
    <w:tmpl w:val="1ED2B66A"/>
    <w:lvl w:ilvl="0" w:tplc="0368F56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92DC5"/>
    <w:multiLevelType w:val="hybridMultilevel"/>
    <w:tmpl w:val="573AC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284304"/>
    <w:multiLevelType w:val="hybridMultilevel"/>
    <w:tmpl w:val="A600EB28"/>
    <w:lvl w:ilvl="0" w:tplc="412C9D36">
      <w:start w:val="1"/>
      <w:numFmt w:val="decimal"/>
      <w:lvlText w:val="%1."/>
      <w:lvlJc w:val="left"/>
      <w:pPr>
        <w:ind w:left="1272" w:hanging="91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D5F49"/>
    <w:multiLevelType w:val="hybridMultilevel"/>
    <w:tmpl w:val="66FADC14"/>
    <w:lvl w:ilvl="0" w:tplc="6CF2FC18">
      <w:start w:val="1"/>
      <w:numFmt w:val="bullet"/>
      <w:lvlText w:val=""/>
      <w:lvlPicBulletId w:val="0"/>
      <w:lvlJc w:val="left"/>
      <w:pPr>
        <w:tabs>
          <w:tab w:val="num" w:pos="720"/>
        </w:tabs>
        <w:ind w:left="720" w:hanging="360"/>
      </w:pPr>
      <w:rPr>
        <w:rFonts w:ascii="Symbol" w:hAnsi="Symbol" w:hint="default"/>
      </w:rPr>
    </w:lvl>
    <w:lvl w:ilvl="1" w:tplc="A8241212" w:tentative="1">
      <w:start w:val="1"/>
      <w:numFmt w:val="bullet"/>
      <w:lvlText w:val=""/>
      <w:lvlJc w:val="left"/>
      <w:pPr>
        <w:tabs>
          <w:tab w:val="num" w:pos="1440"/>
        </w:tabs>
        <w:ind w:left="1440" w:hanging="360"/>
      </w:pPr>
      <w:rPr>
        <w:rFonts w:ascii="Symbol" w:hAnsi="Symbol" w:hint="default"/>
      </w:rPr>
    </w:lvl>
    <w:lvl w:ilvl="2" w:tplc="8B023E36" w:tentative="1">
      <w:start w:val="1"/>
      <w:numFmt w:val="bullet"/>
      <w:lvlText w:val=""/>
      <w:lvlJc w:val="left"/>
      <w:pPr>
        <w:tabs>
          <w:tab w:val="num" w:pos="2160"/>
        </w:tabs>
        <w:ind w:left="2160" w:hanging="360"/>
      </w:pPr>
      <w:rPr>
        <w:rFonts w:ascii="Symbol" w:hAnsi="Symbol" w:hint="default"/>
      </w:rPr>
    </w:lvl>
    <w:lvl w:ilvl="3" w:tplc="2070E54C" w:tentative="1">
      <w:start w:val="1"/>
      <w:numFmt w:val="bullet"/>
      <w:lvlText w:val=""/>
      <w:lvlJc w:val="left"/>
      <w:pPr>
        <w:tabs>
          <w:tab w:val="num" w:pos="2880"/>
        </w:tabs>
        <w:ind w:left="2880" w:hanging="360"/>
      </w:pPr>
      <w:rPr>
        <w:rFonts w:ascii="Symbol" w:hAnsi="Symbol" w:hint="default"/>
      </w:rPr>
    </w:lvl>
    <w:lvl w:ilvl="4" w:tplc="47946446" w:tentative="1">
      <w:start w:val="1"/>
      <w:numFmt w:val="bullet"/>
      <w:lvlText w:val=""/>
      <w:lvlJc w:val="left"/>
      <w:pPr>
        <w:tabs>
          <w:tab w:val="num" w:pos="3600"/>
        </w:tabs>
        <w:ind w:left="3600" w:hanging="360"/>
      </w:pPr>
      <w:rPr>
        <w:rFonts w:ascii="Symbol" w:hAnsi="Symbol" w:hint="default"/>
      </w:rPr>
    </w:lvl>
    <w:lvl w:ilvl="5" w:tplc="2A5A1572" w:tentative="1">
      <w:start w:val="1"/>
      <w:numFmt w:val="bullet"/>
      <w:lvlText w:val=""/>
      <w:lvlJc w:val="left"/>
      <w:pPr>
        <w:tabs>
          <w:tab w:val="num" w:pos="4320"/>
        </w:tabs>
        <w:ind w:left="4320" w:hanging="360"/>
      </w:pPr>
      <w:rPr>
        <w:rFonts w:ascii="Symbol" w:hAnsi="Symbol" w:hint="default"/>
      </w:rPr>
    </w:lvl>
    <w:lvl w:ilvl="6" w:tplc="FF18E5B0" w:tentative="1">
      <w:start w:val="1"/>
      <w:numFmt w:val="bullet"/>
      <w:lvlText w:val=""/>
      <w:lvlJc w:val="left"/>
      <w:pPr>
        <w:tabs>
          <w:tab w:val="num" w:pos="5040"/>
        </w:tabs>
        <w:ind w:left="5040" w:hanging="360"/>
      </w:pPr>
      <w:rPr>
        <w:rFonts w:ascii="Symbol" w:hAnsi="Symbol" w:hint="default"/>
      </w:rPr>
    </w:lvl>
    <w:lvl w:ilvl="7" w:tplc="376221DC" w:tentative="1">
      <w:start w:val="1"/>
      <w:numFmt w:val="bullet"/>
      <w:lvlText w:val=""/>
      <w:lvlJc w:val="left"/>
      <w:pPr>
        <w:tabs>
          <w:tab w:val="num" w:pos="5760"/>
        </w:tabs>
        <w:ind w:left="5760" w:hanging="360"/>
      </w:pPr>
      <w:rPr>
        <w:rFonts w:ascii="Symbol" w:hAnsi="Symbol" w:hint="default"/>
      </w:rPr>
    </w:lvl>
    <w:lvl w:ilvl="8" w:tplc="6B0E976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635584"/>
    <w:multiLevelType w:val="hybridMultilevel"/>
    <w:tmpl w:val="F1B0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96EB1"/>
    <w:multiLevelType w:val="hybridMultilevel"/>
    <w:tmpl w:val="E2CAECE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627206">
    <w:abstractNumId w:val="0"/>
  </w:num>
  <w:num w:numId="2" w16cid:durableId="1151024178">
    <w:abstractNumId w:val="4"/>
  </w:num>
  <w:num w:numId="3" w16cid:durableId="333844571">
    <w:abstractNumId w:val="2"/>
  </w:num>
  <w:num w:numId="4" w16cid:durableId="1503010797">
    <w:abstractNumId w:val="1"/>
  </w:num>
  <w:num w:numId="5" w16cid:durableId="56709479">
    <w:abstractNumId w:val="3"/>
  </w:num>
  <w:num w:numId="6" w16cid:durableId="1806580388">
    <w:abstractNumId w:val="5"/>
  </w:num>
  <w:num w:numId="7" w16cid:durableId="78060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38F162-47FF-4C07-A1F2-6C93DBCCA195}"/>
    <w:docVar w:name="dgnword-eventsink" w:val="2343512205488"/>
  </w:docVars>
  <w:rsids>
    <w:rsidRoot w:val="00A95118"/>
    <w:rsid w:val="00020B09"/>
    <w:rsid w:val="00033418"/>
    <w:rsid w:val="00052F36"/>
    <w:rsid w:val="00075A06"/>
    <w:rsid w:val="000767C9"/>
    <w:rsid w:val="000B2D50"/>
    <w:rsid w:val="000D24F2"/>
    <w:rsid w:val="000E6AB4"/>
    <w:rsid w:val="000F0EEB"/>
    <w:rsid w:val="000F389D"/>
    <w:rsid w:val="001274C9"/>
    <w:rsid w:val="00145E96"/>
    <w:rsid w:val="001A37CC"/>
    <w:rsid w:val="001D3760"/>
    <w:rsid w:val="00215571"/>
    <w:rsid w:val="002416E6"/>
    <w:rsid w:val="002519C7"/>
    <w:rsid w:val="002639EE"/>
    <w:rsid w:val="00270D39"/>
    <w:rsid w:val="00276B18"/>
    <w:rsid w:val="002928FE"/>
    <w:rsid w:val="002B1393"/>
    <w:rsid w:val="002B3228"/>
    <w:rsid w:val="002C1AFC"/>
    <w:rsid w:val="002D2404"/>
    <w:rsid w:val="002E39A2"/>
    <w:rsid w:val="002F50DA"/>
    <w:rsid w:val="00301592"/>
    <w:rsid w:val="00301DFD"/>
    <w:rsid w:val="00305488"/>
    <w:rsid w:val="00305B30"/>
    <w:rsid w:val="0031302D"/>
    <w:rsid w:val="00362594"/>
    <w:rsid w:val="00370E4C"/>
    <w:rsid w:val="003A6952"/>
    <w:rsid w:val="003A7AF2"/>
    <w:rsid w:val="003D4904"/>
    <w:rsid w:val="003E17B6"/>
    <w:rsid w:val="003E4364"/>
    <w:rsid w:val="003E5574"/>
    <w:rsid w:val="003E5CD2"/>
    <w:rsid w:val="003F22FF"/>
    <w:rsid w:val="003F3058"/>
    <w:rsid w:val="003F3A4C"/>
    <w:rsid w:val="0041657D"/>
    <w:rsid w:val="004214BC"/>
    <w:rsid w:val="0042272C"/>
    <w:rsid w:val="004310A6"/>
    <w:rsid w:val="00457ADC"/>
    <w:rsid w:val="00482EFB"/>
    <w:rsid w:val="00497254"/>
    <w:rsid w:val="004A741A"/>
    <w:rsid w:val="004B249F"/>
    <w:rsid w:val="004C6BE9"/>
    <w:rsid w:val="004C7131"/>
    <w:rsid w:val="004E183A"/>
    <w:rsid w:val="004F6FD6"/>
    <w:rsid w:val="00502809"/>
    <w:rsid w:val="00522083"/>
    <w:rsid w:val="00544CF3"/>
    <w:rsid w:val="0058360C"/>
    <w:rsid w:val="005D29A3"/>
    <w:rsid w:val="005F4591"/>
    <w:rsid w:val="0061610A"/>
    <w:rsid w:val="00633729"/>
    <w:rsid w:val="00640A8E"/>
    <w:rsid w:val="00654209"/>
    <w:rsid w:val="00655B27"/>
    <w:rsid w:val="00676D50"/>
    <w:rsid w:val="006772AC"/>
    <w:rsid w:val="006B269E"/>
    <w:rsid w:val="006B45A9"/>
    <w:rsid w:val="006D2D48"/>
    <w:rsid w:val="006D351E"/>
    <w:rsid w:val="007422C6"/>
    <w:rsid w:val="00746EF0"/>
    <w:rsid w:val="00771BF3"/>
    <w:rsid w:val="00782955"/>
    <w:rsid w:val="00797FF3"/>
    <w:rsid w:val="00803063"/>
    <w:rsid w:val="008059E1"/>
    <w:rsid w:val="008158D4"/>
    <w:rsid w:val="0082313E"/>
    <w:rsid w:val="00845532"/>
    <w:rsid w:val="0088109A"/>
    <w:rsid w:val="008B3134"/>
    <w:rsid w:val="00911C3C"/>
    <w:rsid w:val="0091469E"/>
    <w:rsid w:val="00931B5C"/>
    <w:rsid w:val="00933C92"/>
    <w:rsid w:val="00934491"/>
    <w:rsid w:val="00940DC5"/>
    <w:rsid w:val="009444A2"/>
    <w:rsid w:val="00947145"/>
    <w:rsid w:val="00951919"/>
    <w:rsid w:val="009623CF"/>
    <w:rsid w:val="009810DF"/>
    <w:rsid w:val="009864B1"/>
    <w:rsid w:val="009A5683"/>
    <w:rsid w:val="009B76C5"/>
    <w:rsid w:val="009E2A05"/>
    <w:rsid w:val="009F61F3"/>
    <w:rsid w:val="009F6A31"/>
    <w:rsid w:val="00A12967"/>
    <w:rsid w:val="00A22724"/>
    <w:rsid w:val="00A32EB8"/>
    <w:rsid w:val="00A50BF8"/>
    <w:rsid w:val="00A6325F"/>
    <w:rsid w:val="00A80E08"/>
    <w:rsid w:val="00A86E7C"/>
    <w:rsid w:val="00A95118"/>
    <w:rsid w:val="00AE5574"/>
    <w:rsid w:val="00AF431C"/>
    <w:rsid w:val="00B004BB"/>
    <w:rsid w:val="00B05A0D"/>
    <w:rsid w:val="00B1271E"/>
    <w:rsid w:val="00B13597"/>
    <w:rsid w:val="00B46CF2"/>
    <w:rsid w:val="00B52B87"/>
    <w:rsid w:val="00B63720"/>
    <w:rsid w:val="00B843F5"/>
    <w:rsid w:val="00B9167C"/>
    <w:rsid w:val="00BA3267"/>
    <w:rsid w:val="00BC63F2"/>
    <w:rsid w:val="00BE6297"/>
    <w:rsid w:val="00C11293"/>
    <w:rsid w:val="00C31931"/>
    <w:rsid w:val="00C34A45"/>
    <w:rsid w:val="00C65E5A"/>
    <w:rsid w:val="00C7271E"/>
    <w:rsid w:val="00C847C4"/>
    <w:rsid w:val="00C9245F"/>
    <w:rsid w:val="00CC189A"/>
    <w:rsid w:val="00CD05DB"/>
    <w:rsid w:val="00CD5E20"/>
    <w:rsid w:val="00CE1362"/>
    <w:rsid w:val="00CE420C"/>
    <w:rsid w:val="00D040B7"/>
    <w:rsid w:val="00D343A0"/>
    <w:rsid w:val="00D46287"/>
    <w:rsid w:val="00D578CA"/>
    <w:rsid w:val="00D66971"/>
    <w:rsid w:val="00D704F4"/>
    <w:rsid w:val="00D71483"/>
    <w:rsid w:val="00D775BE"/>
    <w:rsid w:val="00D9537F"/>
    <w:rsid w:val="00DA3998"/>
    <w:rsid w:val="00DA3DD7"/>
    <w:rsid w:val="00DA6195"/>
    <w:rsid w:val="00DB5D5B"/>
    <w:rsid w:val="00DC1F8F"/>
    <w:rsid w:val="00DE641C"/>
    <w:rsid w:val="00E02B24"/>
    <w:rsid w:val="00E34525"/>
    <w:rsid w:val="00E37B62"/>
    <w:rsid w:val="00E65982"/>
    <w:rsid w:val="00E72341"/>
    <w:rsid w:val="00E76FCB"/>
    <w:rsid w:val="00E919BD"/>
    <w:rsid w:val="00E95726"/>
    <w:rsid w:val="00EB04F3"/>
    <w:rsid w:val="00EB41BF"/>
    <w:rsid w:val="00EB6E13"/>
    <w:rsid w:val="00EC2174"/>
    <w:rsid w:val="00ED3F42"/>
    <w:rsid w:val="00EF2EEA"/>
    <w:rsid w:val="00EF7DC7"/>
    <w:rsid w:val="00F305AF"/>
    <w:rsid w:val="00F465AF"/>
    <w:rsid w:val="00F751E6"/>
    <w:rsid w:val="00FA1818"/>
    <w:rsid w:val="00FA1BA3"/>
    <w:rsid w:val="00FB0C41"/>
    <w:rsid w:val="00FB690D"/>
    <w:rsid w:val="00FE7BF4"/>
    <w:rsid w:val="00FF5F1F"/>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410FE6D"/>
  <w15:chartTrackingRefBased/>
  <w15:docId w15:val="{D2932595-C18F-4902-A947-12EC46F5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95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118"/>
    <w:rPr>
      <w:b/>
      <w:bCs/>
    </w:rPr>
  </w:style>
  <w:style w:type="character" w:styleId="Hyperlink">
    <w:name w:val="Hyperlink"/>
    <w:basedOn w:val="DefaultParagraphFont"/>
    <w:uiPriority w:val="99"/>
    <w:semiHidden/>
    <w:unhideWhenUsed/>
    <w:rsid w:val="00A95118"/>
    <w:rPr>
      <w:color w:val="0000FF"/>
      <w:u w:val="single"/>
    </w:rPr>
  </w:style>
  <w:style w:type="paragraph" w:styleId="ListParagraph">
    <w:name w:val="List Paragraph"/>
    <w:basedOn w:val="Normal"/>
    <w:uiPriority w:val="34"/>
    <w:qFormat/>
    <w:rsid w:val="00C65E5A"/>
    <w:pPr>
      <w:ind w:left="720"/>
      <w:contextualSpacing/>
    </w:pPr>
  </w:style>
  <w:style w:type="paragraph" w:styleId="HTMLPreformatted">
    <w:name w:val="HTML Preformatted"/>
    <w:basedOn w:val="Normal"/>
    <w:link w:val="HTMLPreformattedChar"/>
    <w:uiPriority w:val="99"/>
    <w:semiHidden/>
    <w:unhideWhenUsed/>
    <w:rsid w:val="00B1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3597"/>
    <w:rPr>
      <w:rFonts w:ascii="Courier New" w:eastAsia="Times New Roman" w:hAnsi="Courier New" w:cs="Courier New"/>
      <w:sz w:val="20"/>
      <w:szCs w:val="20"/>
    </w:rPr>
  </w:style>
  <w:style w:type="character" w:customStyle="1" w:styleId="y2iqfc">
    <w:name w:val="y2iqfc"/>
    <w:basedOn w:val="DefaultParagraphFont"/>
    <w:rsid w:val="00B13597"/>
  </w:style>
  <w:style w:type="paragraph" w:customStyle="1" w:styleId="CPClassification">
    <w:name w:val="CP Classification"/>
    <w:basedOn w:val="Normal"/>
    <w:rsid w:val="008059E1"/>
    <w:pPr>
      <w:tabs>
        <w:tab w:val="center" w:pos="2160"/>
        <w:tab w:val="left" w:pos="7200"/>
      </w:tabs>
      <w:snapToGrid w:val="0"/>
      <w:spacing w:after="0" w:line="240" w:lineRule="auto"/>
      <w:ind w:left="7200" w:right="-504"/>
      <w:jc w:val="both"/>
    </w:pPr>
    <w:rPr>
      <w:rFonts w:ascii="Times New Roman" w:eastAsia="Times New Roman" w:hAnsi="Times New Roman" w:cs="Times New Roman"/>
    </w:rPr>
  </w:style>
  <w:style w:type="paragraph" w:styleId="Header">
    <w:name w:val="header"/>
    <w:basedOn w:val="Normal"/>
    <w:link w:val="HeaderChar"/>
    <w:uiPriority w:val="99"/>
    <w:unhideWhenUsed/>
    <w:rsid w:val="000F0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EB"/>
  </w:style>
  <w:style w:type="paragraph" w:styleId="Footer">
    <w:name w:val="footer"/>
    <w:basedOn w:val="Normal"/>
    <w:link w:val="FooterChar"/>
    <w:uiPriority w:val="99"/>
    <w:unhideWhenUsed/>
    <w:rsid w:val="000F0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EB"/>
  </w:style>
  <w:style w:type="paragraph" w:styleId="FootnoteText">
    <w:name w:val="footnote text"/>
    <w:basedOn w:val="Normal"/>
    <w:link w:val="FootnoteTextChar"/>
    <w:uiPriority w:val="99"/>
    <w:semiHidden/>
    <w:unhideWhenUsed/>
    <w:rsid w:val="004E1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83A"/>
    <w:rPr>
      <w:sz w:val="20"/>
      <w:szCs w:val="20"/>
    </w:rPr>
  </w:style>
  <w:style w:type="character" w:styleId="FootnoteReference">
    <w:name w:val="footnote reference"/>
    <w:basedOn w:val="DefaultParagraphFont"/>
    <w:semiHidden/>
    <w:unhideWhenUsed/>
    <w:rsid w:val="004E1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449">
      <w:bodyDiv w:val="1"/>
      <w:marLeft w:val="0"/>
      <w:marRight w:val="0"/>
      <w:marTop w:val="0"/>
      <w:marBottom w:val="0"/>
      <w:divBdr>
        <w:top w:val="none" w:sz="0" w:space="0" w:color="auto"/>
        <w:left w:val="none" w:sz="0" w:space="0" w:color="auto"/>
        <w:bottom w:val="none" w:sz="0" w:space="0" w:color="auto"/>
        <w:right w:val="none" w:sz="0" w:space="0" w:color="auto"/>
      </w:divBdr>
    </w:div>
    <w:div w:id="133184361">
      <w:bodyDiv w:val="1"/>
      <w:marLeft w:val="0"/>
      <w:marRight w:val="0"/>
      <w:marTop w:val="0"/>
      <w:marBottom w:val="0"/>
      <w:divBdr>
        <w:top w:val="none" w:sz="0" w:space="0" w:color="auto"/>
        <w:left w:val="none" w:sz="0" w:space="0" w:color="auto"/>
        <w:bottom w:val="none" w:sz="0" w:space="0" w:color="auto"/>
        <w:right w:val="none" w:sz="0" w:space="0" w:color="auto"/>
      </w:divBdr>
    </w:div>
    <w:div w:id="355353828">
      <w:bodyDiv w:val="1"/>
      <w:marLeft w:val="0"/>
      <w:marRight w:val="0"/>
      <w:marTop w:val="0"/>
      <w:marBottom w:val="0"/>
      <w:divBdr>
        <w:top w:val="none" w:sz="0" w:space="0" w:color="auto"/>
        <w:left w:val="none" w:sz="0" w:space="0" w:color="auto"/>
        <w:bottom w:val="none" w:sz="0" w:space="0" w:color="auto"/>
        <w:right w:val="none" w:sz="0" w:space="0" w:color="auto"/>
      </w:divBdr>
      <w:divsChild>
        <w:div w:id="1307512425">
          <w:marLeft w:val="0"/>
          <w:marRight w:val="0"/>
          <w:marTop w:val="0"/>
          <w:marBottom w:val="0"/>
          <w:divBdr>
            <w:top w:val="none" w:sz="0" w:space="0" w:color="auto"/>
            <w:left w:val="none" w:sz="0" w:space="0" w:color="auto"/>
            <w:bottom w:val="none" w:sz="0" w:space="0" w:color="auto"/>
            <w:right w:val="none" w:sz="0" w:space="0" w:color="auto"/>
          </w:divBdr>
        </w:div>
        <w:div w:id="264387555">
          <w:marLeft w:val="0"/>
          <w:marRight w:val="0"/>
          <w:marTop w:val="0"/>
          <w:marBottom w:val="0"/>
          <w:divBdr>
            <w:top w:val="none" w:sz="0" w:space="0" w:color="auto"/>
            <w:left w:val="none" w:sz="0" w:space="0" w:color="auto"/>
            <w:bottom w:val="none" w:sz="0" w:space="0" w:color="auto"/>
            <w:right w:val="none" w:sz="0" w:space="0" w:color="auto"/>
          </w:divBdr>
          <w:divsChild>
            <w:div w:id="1445879514">
              <w:marLeft w:val="0"/>
              <w:marRight w:val="165"/>
              <w:marTop w:val="150"/>
              <w:marBottom w:val="0"/>
              <w:divBdr>
                <w:top w:val="none" w:sz="0" w:space="0" w:color="auto"/>
                <w:left w:val="none" w:sz="0" w:space="0" w:color="auto"/>
                <w:bottom w:val="none" w:sz="0" w:space="0" w:color="auto"/>
                <w:right w:val="none" w:sz="0" w:space="0" w:color="auto"/>
              </w:divBdr>
              <w:divsChild>
                <w:div w:id="1869680156">
                  <w:marLeft w:val="0"/>
                  <w:marRight w:val="0"/>
                  <w:marTop w:val="0"/>
                  <w:marBottom w:val="0"/>
                  <w:divBdr>
                    <w:top w:val="none" w:sz="0" w:space="0" w:color="auto"/>
                    <w:left w:val="none" w:sz="0" w:space="0" w:color="auto"/>
                    <w:bottom w:val="none" w:sz="0" w:space="0" w:color="auto"/>
                    <w:right w:val="none" w:sz="0" w:space="0" w:color="auto"/>
                  </w:divBdr>
                  <w:divsChild>
                    <w:div w:id="1423405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395">
      <w:bodyDiv w:val="1"/>
      <w:marLeft w:val="0"/>
      <w:marRight w:val="0"/>
      <w:marTop w:val="0"/>
      <w:marBottom w:val="0"/>
      <w:divBdr>
        <w:top w:val="none" w:sz="0" w:space="0" w:color="auto"/>
        <w:left w:val="none" w:sz="0" w:space="0" w:color="auto"/>
        <w:bottom w:val="none" w:sz="0" w:space="0" w:color="auto"/>
        <w:right w:val="none" w:sz="0" w:space="0" w:color="auto"/>
      </w:divBdr>
      <w:divsChild>
        <w:div w:id="1474908736">
          <w:marLeft w:val="0"/>
          <w:marRight w:val="0"/>
          <w:marTop w:val="0"/>
          <w:marBottom w:val="0"/>
          <w:divBdr>
            <w:top w:val="none" w:sz="0" w:space="0" w:color="auto"/>
            <w:left w:val="none" w:sz="0" w:space="0" w:color="auto"/>
            <w:bottom w:val="none" w:sz="0" w:space="0" w:color="auto"/>
            <w:right w:val="none" w:sz="0" w:space="0" w:color="auto"/>
          </w:divBdr>
        </w:div>
        <w:div w:id="1052969231">
          <w:marLeft w:val="0"/>
          <w:marRight w:val="0"/>
          <w:marTop w:val="0"/>
          <w:marBottom w:val="0"/>
          <w:divBdr>
            <w:top w:val="none" w:sz="0" w:space="0" w:color="auto"/>
            <w:left w:val="none" w:sz="0" w:space="0" w:color="auto"/>
            <w:bottom w:val="none" w:sz="0" w:space="0" w:color="auto"/>
            <w:right w:val="none" w:sz="0" w:space="0" w:color="auto"/>
          </w:divBdr>
          <w:divsChild>
            <w:div w:id="1677421555">
              <w:marLeft w:val="0"/>
              <w:marRight w:val="165"/>
              <w:marTop w:val="150"/>
              <w:marBottom w:val="0"/>
              <w:divBdr>
                <w:top w:val="none" w:sz="0" w:space="0" w:color="auto"/>
                <w:left w:val="none" w:sz="0" w:space="0" w:color="auto"/>
                <w:bottom w:val="none" w:sz="0" w:space="0" w:color="auto"/>
                <w:right w:val="none" w:sz="0" w:space="0" w:color="auto"/>
              </w:divBdr>
              <w:divsChild>
                <w:div w:id="119418575">
                  <w:marLeft w:val="0"/>
                  <w:marRight w:val="0"/>
                  <w:marTop w:val="0"/>
                  <w:marBottom w:val="0"/>
                  <w:divBdr>
                    <w:top w:val="none" w:sz="0" w:space="0" w:color="auto"/>
                    <w:left w:val="none" w:sz="0" w:space="0" w:color="auto"/>
                    <w:bottom w:val="none" w:sz="0" w:space="0" w:color="auto"/>
                    <w:right w:val="none" w:sz="0" w:space="0" w:color="auto"/>
                  </w:divBdr>
                  <w:divsChild>
                    <w:div w:id="70278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2693">
      <w:bodyDiv w:val="1"/>
      <w:marLeft w:val="0"/>
      <w:marRight w:val="0"/>
      <w:marTop w:val="0"/>
      <w:marBottom w:val="0"/>
      <w:divBdr>
        <w:top w:val="none" w:sz="0" w:space="0" w:color="auto"/>
        <w:left w:val="none" w:sz="0" w:space="0" w:color="auto"/>
        <w:bottom w:val="none" w:sz="0" w:space="0" w:color="auto"/>
        <w:right w:val="none" w:sz="0" w:space="0" w:color="auto"/>
      </w:divBdr>
      <w:divsChild>
        <w:div w:id="704528055">
          <w:marLeft w:val="0"/>
          <w:marRight w:val="0"/>
          <w:marTop w:val="0"/>
          <w:marBottom w:val="0"/>
          <w:divBdr>
            <w:top w:val="none" w:sz="0" w:space="0" w:color="auto"/>
            <w:left w:val="none" w:sz="0" w:space="0" w:color="auto"/>
            <w:bottom w:val="none" w:sz="0" w:space="0" w:color="auto"/>
            <w:right w:val="none" w:sz="0" w:space="0" w:color="auto"/>
          </w:divBdr>
        </w:div>
        <w:div w:id="2031910001">
          <w:marLeft w:val="0"/>
          <w:marRight w:val="0"/>
          <w:marTop w:val="0"/>
          <w:marBottom w:val="0"/>
          <w:divBdr>
            <w:top w:val="none" w:sz="0" w:space="0" w:color="auto"/>
            <w:left w:val="none" w:sz="0" w:space="0" w:color="auto"/>
            <w:bottom w:val="none" w:sz="0" w:space="0" w:color="auto"/>
            <w:right w:val="none" w:sz="0" w:space="0" w:color="auto"/>
          </w:divBdr>
          <w:divsChild>
            <w:div w:id="1157766466">
              <w:marLeft w:val="0"/>
              <w:marRight w:val="165"/>
              <w:marTop w:val="150"/>
              <w:marBottom w:val="0"/>
              <w:divBdr>
                <w:top w:val="none" w:sz="0" w:space="0" w:color="auto"/>
                <w:left w:val="none" w:sz="0" w:space="0" w:color="auto"/>
                <w:bottom w:val="none" w:sz="0" w:space="0" w:color="auto"/>
                <w:right w:val="none" w:sz="0" w:space="0" w:color="auto"/>
              </w:divBdr>
              <w:divsChild>
                <w:div w:id="902372442">
                  <w:marLeft w:val="0"/>
                  <w:marRight w:val="0"/>
                  <w:marTop w:val="0"/>
                  <w:marBottom w:val="0"/>
                  <w:divBdr>
                    <w:top w:val="none" w:sz="0" w:space="0" w:color="auto"/>
                    <w:left w:val="none" w:sz="0" w:space="0" w:color="auto"/>
                    <w:bottom w:val="none" w:sz="0" w:space="0" w:color="auto"/>
                    <w:right w:val="none" w:sz="0" w:space="0" w:color="auto"/>
                  </w:divBdr>
                  <w:divsChild>
                    <w:div w:id="304940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9273">
      <w:bodyDiv w:val="1"/>
      <w:marLeft w:val="0"/>
      <w:marRight w:val="0"/>
      <w:marTop w:val="0"/>
      <w:marBottom w:val="0"/>
      <w:divBdr>
        <w:top w:val="none" w:sz="0" w:space="0" w:color="auto"/>
        <w:left w:val="none" w:sz="0" w:space="0" w:color="auto"/>
        <w:bottom w:val="none" w:sz="0" w:space="0" w:color="auto"/>
        <w:right w:val="none" w:sz="0" w:space="0" w:color="auto"/>
      </w:divBdr>
      <w:divsChild>
        <w:div w:id="968360357">
          <w:marLeft w:val="0"/>
          <w:marRight w:val="0"/>
          <w:marTop w:val="0"/>
          <w:marBottom w:val="0"/>
          <w:divBdr>
            <w:top w:val="none" w:sz="0" w:space="0" w:color="auto"/>
            <w:left w:val="none" w:sz="0" w:space="0" w:color="auto"/>
            <w:bottom w:val="none" w:sz="0" w:space="0" w:color="auto"/>
            <w:right w:val="none" w:sz="0" w:space="0" w:color="auto"/>
          </w:divBdr>
          <w:divsChild>
            <w:div w:id="520631871">
              <w:marLeft w:val="0"/>
              <w:marRight w:val="0"/>
              <w:marTop w:val="0"/>
              <w:marBottom w:val="0"/>
              <w:divBdr>
                <w:top w:val="none" w:sz="0" w:space="0" w:color="auto"/>
                <w:left w:val="none" w:sz="0" w:space="0" w:color="auto"/>
                <w:bottom w:val="none" w:sz="0" w:space="0" w:color="auto"/>
                <w:right w:val="none" w:sz="0" w:space="0" w:color="auto"/>
              </w:divBdr>
              <w:divsChild>
                <w:div w:id="549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1133-DA5E-4EE1-BE7A-7B46B730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4</cp:revision>
  <dcterms:created xsi:type="dcterms:W3CDTF">2023-11-17T21:40:00Z</dcterms:created>
  <dcterms:modified xsi:type="dcterms:W3CDTF">2023-11-17T21:42:00Z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026e1584ee98a81f91d8ec80ac44eb5c901c715dc0a7344c7d7b33bf852b7afc</vt:lpwstr>
  </property>
</Properties>
</file>