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0C71" w14:textId="7B44E66A" w:rsidR="009B7276" w:rsidRPr="00CF3BF0" w:rsidRDefault="0028765C" w:rsidP="00CF3BF0">
      <w:pPr>
        <w:pStyle w:val="CPClassification"/>
        <w:widowControl w:val="0"/>
        <w:rPr>
          <w:rFonts w:cs="Times New Roman"/>
          <w:color w:val="auto"/>
          <w:lang w:val="es-MX"/>
        </w:rPr>
      </w:pPr>
      <w:r>
        <w:rPr>
          <w:rFonts w:cs="Times New Roman"/>
          <w:color w:val="auto"/>
          <w:bdr w:val="none" w:sz="0" w:space="0" w:color="auto"/>
          <w:lang w:val="es-MX"/>
        </w:rPr>
        <w:object w:dxaOrig="1440" w:dyaOrig="1440" w14:anchorId="22565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 style="position:absolute;left:0;text-align:left;margin-left:115.7pt;margin-top:-42pt;width:320.05pt;height:28.05pt;z-index:-251658752;mso-wrap-edited:f;mso-width-percent:0;mso-height-percent:0;mso-position-horizontal-relative:margin;mso-position-vertical-relative:margin;mso-width-percent:0;mso-height-percent:0" wrapcoords="3572 1580 2041 2634 170 7376 170 11590 2381 19493 5272 20020 11055 20020 17008 20020 21260 12117 21600 4215 18709 2107 9524 1580 3572 1580" o:allowincell="f" fillcolor="window">
            <v:imagedata r:id="rId8" o:title=""/>
            <w10:wrap type="square" anchorx="margin" anchory="margin"/>
          </v:shape>
          <o:OLEObject Type="Embed" ProgID="Word.Picture.8" ShapeID="_x0000_s2056" DrawAspect="Content" ObjectID="_1771225324" r:id="rId9"/>
        </w:object>
      </w:r>
      <w:r w:rsidR="004D089C" w:rsidRPr="00CF3BF0">
        <w:rPr>
          <w:rFonts w:cs="Times New Roman"/>
          <w:color w:val="auto"/>
          <w:lang w:val="es-MX"/>
        </w:rPr>
        <w:t>OEA/</w:t>
      </w:r>
      <w:proofErr w:type="spellStart"/>
      <w:r w:rsidR="004D089C" w:rsidRPr="00CF3BF0">
        <w:rPr>
          <w:rFonts w:cs="Times New Roman"/>
          <w:color w:val="auto"/>
          <w:lang w:val="es-MX"/>
        </w:rPr>
        <w:t>Ser.G</w:t>
      </w:r>
      <w:proofErr w:type="spellEnd"/>
    </w:p>
    <w:p w14:paraId="00B7500D" w14:textId="36D9404D" w:rsidR="009B7276" w:rsidRPr="00CF3BF0" w:rsidRDefault="004D089C" w:rsidP="00CF3BF0">
      <w:pPr>
        <w:pStyle w:val="CPClassification"/>
        <w:widowControl w:val="0"/>
        <w:ind w:right="-479"/>
        <w:rPr>
          <w:rFonts w:cs="Times New Roman"/>
          <w:color w:val="auto"/>
          <w:lang w:val="es-MX"/>
        </w:rPr>
      </w:pPr>
      <w:r w:rsidRPr="00CF3BF0">
        <w:rPr>
          <w:rFonts w:cs="Times New Roman"/>
          <w:color w:val="auto"/>
          <w:lang w:val="es-MX"/>
        </w:rPr>
        <w:t>CP/</w:t>
      </w:r>
      <w:r w:rsidR="00CF3BF0" w:rsidRPr="00CF3BF0">
        <w:rPr>
          <w:rFonts w:cs="Times New Roman"/>
          <w:color w:val="auto"/>
          <w:lang w:val="es-MX"/>
        </w:rPr>
        <w:t>RES. 1248 (2484/24)</w:t>
      </w:r>
    </w:p>
    <w:p w14:paraId="71AC374B" w14:textId="4CDAA5EC" w:rsidR="0096088C" w:rsidRPr="00CF3BF0" w:rsidRDefault="00CF3BF0" w:rsidP="00CF3BF0">
      <w:pPr>
        <w:pStyle w:val="CPClassification"/>
        <w:widowControl w:val="0"/>
        <w:rPr>
          <w:rFonts w:cs="Times New Roman"/>
          <w:color w:val="auto"/>
          <w:lang w:val="es-MX"/>
        </w:rPr>
      </w:pPr>
      <w:r w:rsidRPr="00CF3BF0">
        <w:rPr>
          <w:rFonts w:cs="Times New Roman"/>
          <w:color w:val="auto"/>
          <w:lang w:val="es-MX"/>
        </w:rPr>
        <w:t>6</w:t>
      </w:r>
      <w:r w:rsidR="004D089C" w:rsidRPr="00CF3BF0">
        <w:rPr>
          <w:rFonts w:cs="Times New Roman"/>
          <w:color w:val="auto"/>
          <w:lang w:val="es-MX"/>
        </w:rPr>
        <w:t xml:space="preserve"> </w:t>
      </w:r>
      <w:r w:rsidRPr="00CF3BF0">
        <w:rPr>
          <w:rFonts w:cs="Times New Roman"/>
          <w:color w:val="auto"/>
          <w:lang w:val="es-MX"/>
        </w:rPr>
        <w:t>marzo</w:t>
      </w:r>
      <w:r w:rsidR="00EB3F8F" w:rsidRPr="00CF3BF0">
        <w:rPr>
          <w:rFonts w:cs="Times New Roman"/>
          <w:color w:val="auto"/>
          <w:lang w:val="es-MX"/>
        </w:rPr>
        <w:t xml:space="preserve"> </w:t>
      </w:r>
      <w:r w:rsidR="0066365F" w:rsidRPr="00CF3BF0">
        <w:rPr>
          <w:rFonts w:cs="Times New Roman"/>
          <w:color w:val="auto"/>
          <w:lang w:val="es-MX"/>
        </w:rPr>
        <w:t>202</w:t>
      </w:r>
      <w:r w:rsidR="00001989" w:rsidRPr="00CF3BF0">
        <w:rPr>
          <w:rFonts w:cs="Times New Roman"/>
          <w:color w:val="auto"/>
          <w:lang w:val="es-MX"/>
        </w:rPr>
        <w:t>4</w:t>
      </w:r>
    </w:p>
    <w:p w14:paraId="3469F8C9" w14:textId="1858F45D" w:rsidR="00CF3BF0" w:rsidRPr="00CF3BF0" w:rsidRDefault="00BC054D" w:rsidP="00CF3BF0">
      <w:pPr>
        <w:pStyle w:val="CPClassification"/>
        <w:widowControl w:val="0"/>
        <w:rPr>
          <w:rFonts w:cs="Times New Roman"/>
          <w:color w:val="auto"/>
          <w:lang w:val="es-MX"/>
        </w:rPr>
      </w:pPr>
      <w:r w:rsidRPr="00CF3BF0">
        <w:rPr>
          <w:rFonts w:cs="Times New Roman"/>
          <w:color w:val="auto"/>
          <w:lang w:val="es-MX"/>
        </w:rPr>
        <w:t>Original: español</w:t>
      </w:r>
    </w:p>
    <w:p w14:paraId="310CBE04" w14:textId="77777777" w:rsidR="00CF3BF0" w:rsidRPr="00CF3BF0" w:rsidRDefault="00CF3BF0" w:rsidP="00CF3BF0">
      <w:pPr>
        <w:pStyle w:val="CPClassification"/>
        <w:widowControl w:val="0"/>
        <w:ind w:left="0"/>
        <w:rPr>
          <w:rFonts w:cs="Times New Roman"/>
          <w:color w:val="auto"/>
          <w:lang w:val="es-MX"/>
        </w:rPr>
      </w:pPr>
    </w:p>
    <w:p w14:paraId="18EFBF78" w14:textId="77777777" w:rsidR="00CF3BF0" w:rsidRPr="00CF3BF0" w:rsidRDefault="00CF3BF0" w:rsidP="00CF3BF0">
      <w:pPr>
        <w:pStyle w:val="CPClassification"/>
        <w:widowControl w:val="0"/>
        <w:ind w:left="0"/>
        <w:rPr>
          <w:rFonts w:cs="Times New Roman"/>
          <w:color w:val="auto"/>
          <w:lang w:val="es-MX"/>
        </w:rPr>
      </w:pPr>
    </w:p>
    <w:p w14:paraId="17AE76E1" w14:textId="77777777" w:rsidR="00CF3BF0" w:rsidRPr="00CF3BF0" w:rsidRDefault="00CF3BF0" w:rsidP="00CF3BF0">
      <w:pPr>
        <w:pStyle w:val="CPClassification"/>
        <w:widowControl w:val="0"/>
        <w:ind w:left="0"/>
        <w:rPr>
          <w:rFonts w:cs="Times New Roman"/>
          <w:color w:val="auto"/>
          <w:lang w:val="es-MX"/>
        </w:rPr>
      </w:pPr>
    </w:p>
    <w:p w14:paraId="3359AAAB" w14:textId="4EA05970" w:rsidR="0072673A" w:rsidRPr="00CF3BF0" w:rsidRDefault="00CF3BF0" w:rsidP="00CF3BF0">
      <w:pPr>
        <w:pStyle w:val="CPClassification"/>
        <w:widowControl w:val="0"/>
        <w:ind w:left="0"/>
        <w:jc w:val="center"/>
        <w:rPr>
          <w:rFonts w:cs="Times New Roman"/>
          <w:color w:val="auto"/>
          <w:lang w:val="es-PE"/>
        </w:rPr>
      </w:pPr>
      <w:r w:rsidRPr="00CF3BF0">
        <w:rPr>
          <w:rFonts w:cs="Times New Roman"/>
          <w:color w:val="auto"/>
          <w:lang w:val="es-MX"/>
        </w:rPr>
        <w:t>CP/RES. 1248 (2484/24)</w:t>
      </w:r>
    </w:p>
    <w:p w14:paraId="11F542B5" w14:textId="77777777" w:rsidR="0072673A" w:rsidRPr="00CF3BF0" w:rsidRDefault="0072673A" w:rsidP="00CF3BF0">
      <w:pPr>
        <w:ind w:right="-32"/>
        <w:rPr>
          <w:color w:val="auto"/>
          <w:lang w:val="es-PE"/>
        </w:rPr>
      </w:pPr>
    </w:p>
    <w:p w14:paraId="090CD267" w14:textId="77777777" w:rsidR="0072673A" w:rsidRPr="00CF3BF0" w:rsidRDefault="0072673A" w:rsidP="00CF3BF0">
      <w:pPr>
        <w:widowControl w:val="0"/>
        <w:ind w:right="-32"/>
        <w:rPr>
          <w:bCs/>
          <w:color w:val="auto"/>
          <w:lang w:val="es-PE"/>
        </w:rPr>
      </w:pPr>
      <w:r w:rsidRPr="00CF3BF0">
        <w:rPr>
          <w:bCs/>
          <w:color w:val="auto"/>
          <w:lang w:val="es-PE"/>
        </w:rPr>
        <w:t xml:space="preserve">DESIGNACIÓN DEL ESPACIO CONOCIDO COMO LA “GALERÍA DE LOS HÉROES” </w:t>
      </w:r>
    </w:p>
    <w:p w14:paraId="4BF0792E" w14:textId="77777777" w:rsidR="0072673A" w:rsidRPr="00CF3BF0" w:rsidRDefault="0072673A" w:rsidP="00CF3BF0">
      <w:pPr>
        <w:widowControl w:val="0"/>
        <w:ind w:right="-32"/>
        <w:rPr>
          <w:bCs/>
          <w:color w:val="auto"/>
          <w:lang w:val="es-PE"/>
        </w:rPr>
      </w:pPr>
      <w:r w:rsidRPr="00CF3BF0">
        <w:rPr>
          <w:bCs/>
          <w:color w:val="auto"/>
          <w:lang w:val="es-PE"/>
        </w:rPr>
        <w:t>COMO “GALERÍA DE LAS HEROÍNAS Y LOS HÉROES DE LAS AMÉRICAS”</w:t>
      </w:r>
    </w:p>
    <w:p w14:paraId="6365C9A7" w14:textId="77777777" w:rsidR="0072673A" w:rsidRPr="00CF3BF0" w:rsidRDefault="0072673A" w:rsidP="00CF3BF0">
      <w:pPr>
        <w:widowControl w:val="0"/>
        <w:ind w:right="-32"/>
        <w:rPr>
          <w:bCs/>
          <w:color w:val="auto"/>
          <w:lang w:val="es-PE"/>
        </w:rPr>
      </w:pPr>
    </w:p>
    <w:p w14:paraId="4094A554" w14:textId="0A3BA388" w:rsidR="0072673A" w:rsidRPr="00CF3BF0" w:rsidRDefault="0072673A" w:rsidP="00CF3BF0">
      <w:pPr>
        <w:widowControl w:val="0"/>
        <w:ind w:right="-32"/>
        <w:rPr>
          <w:bCs/>
          <w:color w:val="auto"/>
          <w:lang w:val="es-PE"/>
        </w:rPr>
      </w:pPr>
      <w:r w:rsidRPr="00CF3BF0">
        <w:rPr>
          <w:bCs/>
          <w:color w:val="auto"/>
          <w:lang w:val="es-PE"/>
        </w:rPr>
        <w:t>(</w:t>
      </w:r>
      <w:r w:rsidR="00CF3BF0" w:rsidRPr="00CF3BF0">
        <w:rPr>
          <w:color w:val="auto"/>
          <w:shd w:val="clear" w:color="auto" w:fill="FFFFFF"/>
          <w:lang w:val="es-US"/>
        </w:rPr>
        <w:t xml:space="preserve">Aprobada por el Consejo Permanente en la sesión </w:t>
      </w:r>
      <w:r w:rsidR="00CF3BF0">
        <w:rPr>
          <w:color w:val="auto"/>
          <w:shd w:val="clear" w:color="auto" w:fill="FFFFFF"/>
          <w:lang w:val="es-US"/>
        </w:rPr>
        <w:t>extra</w:t>
      </w:r>
      <w:r w:rsidR="00CF3BF0" w:rsidRPr="00CF3BF0">
        <w:rPr>
          <w:color w:val="auto"/>
          <w:shd w:val="clear" w:color="auto" w:fill="FFFFFF"/>
          <w:lang w:val="es-US"/>
        </w:rPr>
        <w:t xml:space="preserve">ordinaria celebrada el </w:t>
      </w:r>
      <w:r w:rsidR="00CF3BF0">
        <w:rPr>
          <w:color w:val="auto"/>
          <w:shd w:val="clear" w:color="auto" w:fill="FFFFFF"/>
          <w:lang w:val="es-US"/>
        </w:rPr>
        <w:t>6</w:t>
      </w:r>
      <w:r w:rsidR="00CF3BF0" w:rsidRPr="00CF3BF0">
        <w:rPr>
          <w:color w:val="auto"/>
          <w:shd w:val="clear" w:color="auto" w:fill="FFFFFF"/>
          <w:lang w:val="es-US"/>
        </w:rPr>
        <w:t xml:space="preserve"> de </w:t>
      </w:r>
      <w:r w:rsidR="00CF3BF0">
        <w:rPr>
          <w:color w:val="auto"/>
          <w:shd w:val="clear" w:color="auto" w:fill="FFFFFF"/>
          <w:lang w:val="es-US"/>
        </w:rPr>
        <w:t>marzo</w:t>
      </w:r>
      <w:r w:rsidR="00CF3BF0" w:rsidRPr="00CF3BF0">
        <w:rPr>
          <w:color w:val="auto"/>
          <w:shd w:val="clear" w:color="auto" w:fill="FFFFFF"/>
          <w:lang w:val="es-US"/>
        </w:rPr>
        <w:t xml:space="preserve"> de 2024</w:t>
      </w:r>
      <w:r w:rsidRPr="00CF3BF0">
        <w:rPr>
          <w:bCs/>
          <w:color w:val="auto"/>
          <w:lang w:val="es-PE"/>
        </w:rPr>
        <w:t xml:space="preserve">) </w:t>
      </w:r>
    </w:p>
    <w:p w14:paraId="2197512C" w14:textId="77777777" w:rsidR="0072673A" w:rsidRPr="00CF3BF0" w:rsidRDefault="0072673A" w:rsidP="00CF3BF0">
      <w:pPr>
        <w:widowControl w:val="0"/>
        <w:ind w:right="-32"/>
        <w:rPr>
          <w:color w:val="auto"/>
          <w:lang w:val="es-PE"/>
        </w:rPr>
      </w:pPr>
    </w:p>
    <w:p w14:paraId="4511CDAA" w14:textId="77777777" w:rsidR="0072673A" w:rsidRPr="00CF3BF0" w:rsidRDefault="0072673A" w:rsidP="00CF3BF0">
      <w:pPr>
        <w:widowControl w:val="0"/>
        <w:ind w:right="-29"/>
        <w:jc w:val="both"/>
        <w:rPr>
          <w:color w:val="auto"/>
          <w:lang w:val="es-PE"/>
        </w:rPr>
      </w:pPr>
    </w:p>
    <w:p w14:paraId="570BD3F0" w14:textId="77777777" w:rsidR="0072673A" w:rsidRPr="00CF3BF0" w:rsidRDefault="0072673A" w:rsidP="00CF3BF0">
      <w:pPr>
        <w:widowControl w:val="0"/>
        <w:ind w:right="-29" w:firstLine="720"/>
        <w:jc w:val="both"/>
        <w:rPr>
          <w:color w:val="auto"/>
          <w:lang w:val="es-PE"/>
        </w:rPr>
      </w:pPr>
      <w:r w:rsidRPr="00CF3BF0">
        <w:rPr>
          <w:color w:val="auto"/>
          <w:lang w:val="es-PE"/>
        </w:rPr>
        <w:t>EL CONSEJO PERMANENTE DE LA ORGANIZACIÓN DE LOS ESTADOS AMERICANOS,</w:t>
      </w:r>
    </w:p>
    <w:p w14:paraId="7BCE8E94" w14:textId="77777777" w:rsidR="0072673A" w:rsidRPr="00CF3BF0" w:rsidRDefault="0072673A" w:rsidP="00CF3BF0">
      <w:pPr>
        <w:widowControl w:val="0"/>
        <w:ind w:right="-29"/>
        <w:jc w:val="both"/>
        <w:rPr>
          <w:color w:val="auto"/>
          <w:lang w:val="es-PE"/>
        </w:rPr>
      </w:pPr>
    </w:p>
    <w:p w14:paraId="3E40AF4A" w14:textId="77777777" w:rsidR="0072673A" w:rsidRPr="00CF3BF0" w:rsidRDefault="0072673A" w:rsidP="00CF3BF0">
      <w:pPr>
        <w:widowControl w:val="0"/>
        <w:ind w:right="-29" w:firstLine="720"/>
        <w:jc w:val="both"/>
        <w:rPr>
          <w:color w:val="auto"/>
          <w:lang w:val="es-PE"/>
        </w:rPr>
      </w:pPr>
      <w:r w:rsidRPr="00CF3BF0">
        <w:rPr>
          <w:color w:val="auto"/>
          <w:lang w:val="es-PE"/>
        </w:rPr>
        <w:t xml:space="preserve">TENIENDO PRESENTE los principios consagrados en la Carta de la Organización de los Estados Americanos; de la Declaración Americana de Derechos y Deberes del Hombre; la Convención Americana de Derechos Humanos; la Convención Interamericana para Prevenir, Sancionar y Erradicar la Violencia contra la Mujer (Convención de Belém do Pará); de la Convención sobre la Eliminación de todas las Formas de Discriminación contra la Mujer; la Carta Democrática Interamericana y la Declaración y Plataforma de Acción de Beijing de 1995; </w:t>
      </w:r>
    </w:p>
    <w:p w14:paraId="52917689" w14:textId="77777777" w:rsidR="0072673A" w:rsidRPr="00CF3BF0" w:rsidRDefault="0072673A" w:rsidP="00CF3BF0">
      <w:pPr>
        <w:widowControl w:val="0"/>
        <w:ind w:right="-29" w:firstLine="720"/>
        <w:jc w:val="both"/>
        <w:rPr>
          <w:color w:val="auto"/>
          <w:lang w:val="es-PE"/>
        </w:rPr>
      </w:pPr>
    </w:p>
    <w:p w14:paraId="317D38A4" w14:textId="77777777" w:rsidR="0072673A" w:rsidRPr="00CF3BF0" w:rsidRDefault="0072673A" w:rsidP="00CF3BF0">
      <w:pPr>
        <w:widowControl w:val="0"/>
        <w:ind w:right="-29" w:firstLine="720"/>
        <w:jc w:val="both"/>
        <w:rPr>
          <w:color w:val="auto"/>
          <w:lang w:val="es-PE"/>
        </w:rPr>
      </w:pPr>
      <w:r w:rsidRPr="00CF3BF0">
        <w:rPr>
          <w:color w:val="auto"/>
          <w:lang w:val="es-PE"/>
        </w:rPr>
        <w:t xml:space="preserve">CONSCIENTE de las inequidades históricas, sociales y estructurales a las que las mujeres han sido y son sujetas; </w:t>
      </w:r>
    </w:p>
    <w:p w14:paraId="2BF2C15F" w14:textId="77777777" w:rsidR="0072673A" w:rsidRPr="00CF3BF0" w:rsidRDefault="0072673A" w:rsidP="00CF3BF0">
      <w:pPr>
        <w:widowControl w:val="0"/>
        <w:ind w:right="-29" w:firstLine="720"/>
        <w:jc w:val="both"/>
        <w:rPr>
          <w:color w:val="auto"/>
          <w:lang w:val="es-PE"/>
        </w:rPr>
      </w:pPr>
    </w:p>
    <w:p w14:paraId="1AF13287" w14:textId="77777777" w:rsidR="0072673A" w:rsidRPr="00CF3BF0" w:rsidRDefault="0072673A" w:rsidP="00CF3BF0">
      <w:pPr>
        <w:widowControl w:val="0"/>
        <w:ind w:right="-29" w:firstLine="720"/>
        <w:jc w:val="both"/>
        <w:rPr>
          <w:color w:val="auto"/>
          <w:lang w:val="es-PE"/>
        </w:rPr>
      </w:pPr>
      <w:r w:rsidRPr="00CF3BF0">
        <w:rPr>
          <w:color w:val="auto"/>
          <w:lang w:val="es-PE"/>
        </w:rPr>
        <w:t xml:space="preserve">REAFIRMANDO que la participación, plena, igualitaria, efectiva y significativa de las mujeres en todos los niveles de la adopción de decisiones es indispensable para la democracia, </w:t>
      </w:r>
    </w:p>
    <w:p w14:paraId="322C36CA" w14:textId="77777777" w:rsidR="0072673A" w:rsidRPr="00CF3BF0" w:rsidRDefault="0072673A" w:rsidP="00CF3BF0">
      <w:pPr>
        <w:widowControl w:val="0"/>
        <w:ind w:right="-29" w:firstLine="720"/>
        <w:jc w:val="both"/>
        <w:rPr>
          <w:color w:val="auto"/>
          <w:lang w:val="es-PE"/>
        </w:rPr>
      </w:pPr>
    </w:p>
    <w:p w14:paraId="653EC3BD" w14:textId="77777777" w:rsidR="0072673A" w:rsidRPr="00CF3BF0" w:rsidRDefault="0072673A" w:rsidP="00CF3BF0">
      <w:pPr>
        <w:widowControl w:val="0"/>
        <w:ind w:right="-29" w:firstLine="720"/>
        <w:jc w:val="both"/>
        <w:rPr>
          <w:color w:val="auto"/>
          <w:lang w:val="es-PE"/>
        </w:rPr>
      </w:pPr>
      <w:r w:rsidRPr="00CF3BF0">
        <w:rPr>
          <w:color w:val="auto"/>
          <w:lang w:val="es-PE"/>
        </w:rPr>
        <w:t>DESTACANDO la importancia de reconocer de manera igualitaria a las personalidades ilustres de las Américas;</w:t>
      </w:r>
    </w:p>
    <w:p w14:paraId="33E81A21" w14:textId="77777777" w:rsidR="0072673A" w:rsidRPr="00CF3BF0" w:rsidRDefault="0072673A" w:rsidP="00CF3BF0">
      <w:pPr>
        <w:widowControl w:val="0"/>
        <w:ind w:right="-29" w:firstLine="720"/>
        <w:jc w:val="both"/>
        <w:rPr>
          <w:color w:val="auto"/>
          <w:lang w:val="es-PE"/>
        </w:rPr>
      </w:pPr>
    </w:p>
    <w:p w14:paraId="6A3F301D" w14:textId="77777777" w:rsidR="0072673A" w:rsidRPr="00CF3BF0" w:rsidRDefault="0072673A" w:rsidP="00CF3BF0">
      <w:pPr>
        <w:widowControl w:val="0"/>
        <w:ind w:right="-29" w:firstLine="720"/>
        <w:jc w:val="both"/>
        <w:rPr>
          <w:color w:val="auto"/>
          <w:lang w:val="es-PE"/>
        </w:rPr>
      </w:pPr>
      <w:r w:rsidRPr="00CF3BF0">
        <w:rPr>
          <w:color w:val="auto"/>
          <w:lang w:val="es-PE"/>
        </w:rPr>
        <w:t xml:space="preserve">CONSCIENTE que la Comisión Interamericana de Mujeres se constituyó en la Sexta Conferencia Internacional Americana el 18 de febrero de 1928, siendo el primer organismo oficial de carácter intergubernamental creado con el objeto de lograr el reconocimiento de los derechos civiles y políticos de la mujer; cuyo trabajo ha permitido fundamentales avances en la promoción y </w:t>
      </w:r>
      <w:proofErr w:type="spellStart"/>
      <w:r w:rsidRPr="00CF3BF0">
        <w:rPr>
          <w:color w:val="auto"/>
          <w:lang w:val="es-PE"/>
        </w:rPr>
        <w:t>visibilización</w:t>
      </w:r>
      <w:proofErr w:type="spellEnd"/>
      <w:r w:rsidRPr="00CF3BF0">
        <w:rPr>
          <w:color w:val="auto"/>
          <w:lang w:val="es-PE"/>
        </w:rPr>
        <w:t xml:space="preserve"> de los liderazgos transformadores de las mujeres; de la participación política de las mujeres en democracias representativas; de los derechos económicos de las mujeres, poniendo especial atención en la inequidad de la carga desproporcionada de los cuidados y el trabajo doméstico no remunerado; y del desarrollo de una agenda interamericana de paz y seguridad con un enfoque de igualdad de género;</w:t>
      </w:r>
    </w:p>
    <w:p w14:paraId="1525B75B" w14:textId="77777777" w:rsidR="0072673A" w:rsidRPr="00CF3BF0" w:rsidRDefault="0072673A" w:rsidP="00CF3BF0">
      <w:pPr>
        <w:widowControl w:val="0"/>
        <w:ind w:right="-29" w:firstLine="720"/>
        <w:jc w:val="both"/>
        <w:rPr>
          <w:color w:val="auto"/>
          <w:lang w:val="es-PE"/>
        </w:rPr>
      </w:pPr>
    </w:p>
    <w:p w14:paraId="62F7EA55" w14:textId="77777777" w:rsidR="0072673A" w:rsidRPr="00CF3BF0" w:rsidRDefault="0072673A" w:rsidP="00CF3BF0">
      <w:pPr>
        <w:widowControl w:val="0"/>
        <w:ind w:right="-29" w:firstLine="720"/>
        <w:jc w:val="both"/>
        <w:rPr>
          <w:color w:val="auto"/>
          <w:lang w:val="es-PE"/>
        </w:rPr>
      </w:pPr>
      <w:r w:rsidRPr="00CF3BF0">
        <w:rPr>
          <w:color w:val="auto"/>
          <w:lang w:val="es-PE"/>
        </w:rPr>
        <w:t>RECORDANDO que en la resolución de la Asamblea General AG/RES. 587 (XII-0/82) “Día de la Mujer de las Américas”, se declaró el día 18 de febrero como el “Día de la Mujer de las Américas”;</w:t>
      </w:r>
    </w:p>
    <w:p w14:paraId="5BE5BBA2" w14:textId="77777777" w:rsidR="0072673A" w:rsidRPr="00CF3BF0" w:rsidRDefault="0072673A" w:rsidP="00CF3BF0">
      <w:pPr>
        <w:widowControl w:val="0"/>
        <w:ind w:right="-29" w:firstLine="720"/>
        <w:jc w:val="both"/>
        <w:rPr>
          <w:color w:val="auto"/>
          <w:lang w:val="es-PE"/>
        </w:rPr>
      </w:pPr>
      <w:bookmarkStart w:id="0" w:name="_heading=h.gjdgxs" w:colFirst="0" w:colLast="0"/>
      <w:bookmarkEnd w:id="0"/>
    </w:p>
    <w:p w14:paraId="175C2041" w14:textId="77777777" w:rsidR="0072673A" w:rsidRPr="00CF3BF0" w:rsidRDefault="0072673A" w:rsidP="00CF3BF0">
      <w:pPr>
        <w:widowControl w:val="0"/>
        <w:ind w:right="-29" w:firstLine="720"/>
        <w:jc w:val="both"/>
        <w:rPr>
          <w:color w:val="auto"/>
          <w:lang w:val="es-PE"/>
        </w:rPr>
      </w:pPr>
      <w:r w:rsidRPr="00CF3BF0">
        <w:rPr>
          <w:color w:val="auto"/>
          <w:lang w:val="es-PE"/>
        </w:rPr>
        <w:t xml:space="preserve">RECORDANDO TAMBIÉN la resolución del Consejo Permanente CP/RES. 1149 (2278/20) “Representación y participación de las mujeres en la OEA”; </w:t>
      </w:r>
    </w:p>
    <w:p w14:paraId="018AF5B0" w14:textId="77777777" w:rsidR="0072673A" w:rsidRPr="00CF3BF0" w:rsidRDefault="0072673A" w:rsidP="00CF3BF0">
      <w:pPr>
        <w:widowControl w:val="0"/>
        <w:ind w:right="-29" w:firstLine="720"/>
        <w:jc w:val="both"/>
        <w:rPr>
          <w:color w:val="auto"/>
          <w:lang w:val="es-PE"/>
        </w:rPr>
      </w:pPr>
      <w:r w:rsidRPr="00CF3BF0">
        <w:rPr>
          <w:color w:val="auto"/>
          <w:lang w:val="es-PE"/>
        </w:rPr>
        <w:lastRenderedPageBreak/>
        <w:t>RECORDANDO ADEMÁS la resolución de la Asamblea General AG/RES. 2994 (LII-O/22) “El liderazgo de las mujeres para el avance de la igualdad de género y la democracia en las Américas”; y</w:t>
      </w:r>
    </w:p>
    <w:p w14:paraId="4B000EDE" w14:textId="77777777" w:rsidR="0072673A" w:rsidRPr="00CF3BF0" w:rsidRDefault="0072673A" w:rsidP="00CF3BF0">
      <w:pPr>
        <w:widowControl w:val="0"/>
        <w:ind w:right="-29" w:firstLine="720"/>
        <w:jc w:val="both"/>
        <w:rPr>
          <w:color w:val="auto"/>
          <w:lang w:val="es-PE"/>
        </w:rPr>
      </w:pPr>
    </w:p>
    <w:p w14:paraId="5C4741C0" w14:textId="77777777" w:rsidR="0072673A" w:rsidRPr="00CF3BF0" w:rsidRDefault="0072673A" w:rsidP="00CF3BF0">
      <w:pPr>
        <w:widowControl w:val="0"/>
        <w:ind w:right="-29" w:firstLine="720"/>
        <w:jc w:val="both"/>
        <w:rPr>
          <w:color w:val="auto"/>
          <w:lang w:val="es-PE"/>
        </w:rPr>
      </w:pPr>
      <w:r w:rsidRPr="00CF3BF0">
        <w:rPr>
          <w:color w:val="auto"/>
          <w:lang w:val="es-PE"/>
        </w:rPr>
        <w:t xml:space="preserve">CONSIDERANDO que el Consejo Permanente, mediante la resolución CP/RES. 1226 (2435/23) “Creación del espacio “Mujeres que transforman las Américas”, solicitó a la Secretaría General asignar un espacio público y visible en el Edificio Principal de la Organización de los Estados Americanos dedicado a “Las mujeres que transforman las Américas”, para visibilizar y reconocer a las mujeres que ejercen o han ejercido liderazgos y realizado contribuciones destacadas a la vida de la región; cuyos “Lineamientos y características de la obra visual del espacio “Mujeres que transforman las Américas”, fueron aprobados por el Consejo Permanente el 15 de junio de 2023, </w:t>
      </w:r>
    </w:p>
    <w:p w14:paraId="34B245A8" w14:textId="77777777" w:rsidR="0072673A" w:rsidRPr="00CF3BF0" w:rsidRDefault="0072673A" w:rsidP="00CF3BF0">
      <w:pPr>
        <w:widowControl w:val="0"/>
        <w:ind w:right="-29"/>
        <w:jc w:val="both"/>
        <w:rPr>
          <w:color w:val="auto"/>
          <w:lang w:val="es-PE"/>
        </w:rPr>
      </w:pPr>
    </w:p>
    <w:p w14:paraId="36270EE1" w14:textId="77777777" w:rsidR="0072673A" w:rsidRPr="00CF3BF0" w:rsidRDefault="0072673A" w:rsidP="00CF3BF0">
      <w:pPr>
        <w:widowControl w:val="0"/>
        <w:ind w:right="-29"/>
        <w:jc w:val="both"/>
        <w:rPr>
          <w:color w:val="auto"/>
          <w:lang w:val="es-PE"/>
        </w:rPr>
      </w:pPr>
      <w:r w:rsidRPr="00CF3BF0">
        <w:rPr>
          <w:color w:val="auto"/>
          <w:lang w:val="es-PE"/>
        </w:rPr>
        <w:t>RESUELVE:</w:t>
      </w:r>
    </w:p>
    <w:p w14:paraId="1372A735" w14:textId="77777777" w:rsidR="0072673A" w:rsidRPr="00CF3BF0" w:rsidRDefault="0072673A" w:rsidP="00CF3BF0">
      <w:pPr>
        <w:widowControl w:val="0"/>
        <w:ind w:right="-29"/>
        <w:jc w:val="both"/>
        <w:rPr>
          <w:color w:val="auto"/>
          <w:lang w:val="es-PE"/>
        </w:rPr>
      </w:pPr>
    </w:p>
    <w:p w14:paraId="30854B16" w14:textId="77777777" w:rsidR="0072673A" w:rsidRPr="00CF3BF0" w:rsidRDefault="0072673A" w:rsidP="00CF3BF0">
      <w:pPr>
        <w:widowControl w:val="0"/>
        <w:ind w:right="-29" w:firstLine="720"/>
        <w:jc w:val="both"/>
        <w:rPr>
          <w:color w:val="auto"/>
          <w:lang w:val="es-PE"/>
        </w:rPr>
      </w:pPr>
      <w:r w:rsidRPr="00CF3BF0">
        <w:rPr>
          <w:color w:val="auto"/>
          <w:lang w:val="es-PE"/>
        </w:rPr>
        <w:t>1.</w:t>
      </w:r>
      <w:r w:rsidRPr="00CF3BF0">
        <w:rPr>
          <w:color w:val="auto"/>
          <w:lang w:val="es-PE"/>
        </w:rPr>
        <w:tab/>
        <w:t>Designar el espacio conocido como la “Galería de los Héroes” ubicado en el Edificio Principal de la sede de la Secretaría General de la Organización de los Estados Americanos como “Galería de las Heroínas y los Héroes de las Américas”.</w:t>
      </w:r>
    </w:p>
    <w:p w14:paraId="049E52A1" w14:textId="77777777" w:rsidR="0072673A" w:rsidRPr="00CF3BF0" w:rsidRDefault="0072673A" w:rsidP="00CF3BF0">
      <w:pPr>
        <w:widowControl w:val="0"/>
        <w:ind w:right="-29"/>
        <w:jc w:val="both"/>
        <w:rPr>
          <w:color w:val="auto"/>
          <w:lang w:val="es-PE"/>
        </w:rPr>
      </w:pPr>
      <w:r w:rsidRPr="00CF3BF0">
        <w:rPr>
          <w:color w:val="auto"/>
          <w:lang w:val="es-PE"/>
        </w:rPr>
        <w:tab/>
      </w:r>
    </w:p>
    <w:p w14:paraId="39F7AAA0" w14:textId="5BC38FDF" w:rsidR="00CD3347" w:rsidRDefault="0072673A" w:rsidP="00CF3BF0">
      <w:pPr>
        <w:widowControl w:val="0"/>
        <w:ind w:right="-29" w:firstLine="709"/>
        <w:jc w:val="both"/>
        <w:rPr>
          <w:color w:val="auto"/>
          <w:lang w:val="es-PE"/>
        </w:rPr>
      </w:pPr>
      <w:r w:rsidRPr="00CF3BF0">
        <w:rPr>
          <w:color w:val="auto"/>
          <w:lang w:val="es-PE"/>
        </w:rPr>
        <w:t>2.</w:t>
      </w:r>
      <w:r w:rsidRPr="00CF3BF0">
        <w:rPr>
          <w:color w:val="auto"/>
          <w:lang w:val="es-PE"/>
        </w:rPr>
        <w:tab/>
        <w:t>Solicitar a la Secretaría General que adopte las medidas necesarias para asegurar que, en dicha Galería, los Estados Miembros puedan honrar de igual manera a sus heroínas y héroes.</w:t>
      </w:r>
    </w:p>
    <w:p w14:paraId="71804706" w14:textId="39CB914B" w:rsidR="0028765C" w:rsidRPr="00CF3BF0" w:rsidRDefault="0028765C" w:rsidP="00CF3BF0">
      <w:pPr>
        <w:widowControl w:val="0"/>
        <w:ind w:right="-29" w:firstLine="709"/>
        <w:jc w:val="both"/>
        <w:rPr>
          <w:color w:val="auto"/>
          <w:lang w:val="es-MX" w:eastAsia="es-ES"/>
        </w:rPr>
      </w:pPr>
      <w:r w:rsidRPr="006764F6">
        <w:rPr>
          <w:noProof/>
        </w:rPr>
        <mc:AlternateContent>
          <mc:Choice Requires="wps">
            <w:drawing>
              <wp:anchor distT="0" distB="0" distL="114300" distR="114300" simplePos="0" relativeHeight="251659776" behindDoc="0" locked="1" layoutInCell="1" allowOverlap="1" wp14:anchorId="5191BBD8" wp14:editId="09D673AE">
                <wp:simplePos x="0" y="0"/>
                <wp:positionH relativeFrom="column">
                  <wp:posOffset>-238125</wp:posOffset>
                </wp:positionH>
                <wp:positionV relativeFrom="bottomMargin">
                  <wp:align>top</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131985B" w14:textId="7987E64D" w:rsidR="0028765C" w:rsidRPr="008D6F57" w:rsidRDefault="0028765C" w:rsidP="0028765C">
                            <w:pPr>
                              <w:jc w:val="left"/>
                              <w:rPr>
                                <w:sz w:val="18"/>
                              </w:rPr>
                            </w:pPr>
                            <w:r>
                              <w:rPr>
                                <w:sz w:val="18"/>
                              </w:rPr>
                              <w:fldChar w:fldCharType="begin"/>
                            </w:r>
                            <w:r>
                              <w:rPr>
                                <w:sz w:val="18"/>
                              </w:rPr>
                              <w:instrText xml:space="preserve"> FILENAME  \* MERGEFORMAT </w:instrText>
                            </w:r>
                            <w:r>
                              <w:rPr>
                                <w:sz w:val="18"/>
                              </w:rPr>
                              <w:fldChar w:fldCharType="separate"/>
                            </w:r>
                            <w:r>
                              <w:rPr>
                                <w:noProof/>
                                <w:sz w:val="18"/>
                              </w:rPr>
                              <w:t>CP49272S01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1BBD8" id="_x0000_t202" coordsize="21600,21600" o:spt="202" path="m,l,21600r21600,l21600,xe">
                <v:stroke joinstyle="miter"/>
                <v:path gradientshapeok="t" o:connecttype="rect"/>
              </v:shapetype>
              <v:shape id="Text Box 1" o:spid="_x0000_s1026" type="#_x0000_t202" style="position:absolute;left:0;text-align:left;margin-left:-18.75pt;margin-top:0;width:266.4pt;height:18pt;z-index:251659776;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" filled="f" stroked="f">
                <v:stroke joinstyle="round"/>
                <v:textbox>
                  <w:txbxContent>
                    <w:p w14:paraId="6131985B" w14:textId="7987E64D" w:rsidR="0028765C" w:rsidRPr="008D6F57" w:rsidRDefault="0028765C" w:rsidP="0028765C">
                      <w:pPr>
                        <w:jc w:val="left"/>
                        <w:rPr>
                          <w:sz w:val="18"/>
                        </w:rPr>
                      </w:pPr>
                      <w:r>
                        <w:rPr>
                          <w:sz w:val="18"/>
                        </w:rPr>
                        <w:fldChar w:fldCharType="begin"/>
                      </w:r>
                      <w:r>
                        <w:rPr>
                          <w:sz w:val="18"/>
                        </w:rPr>
                        <w:instrText xml:space="preserve"> FILENAME  \* MERGEFORMAT </w:instrText>
                      </w:r>
                      <w:r>
                        <w:rPr>
                          <w:sz w:val="18"/>
                        </w:rPr>
                        <w:fldChar w:fldCharType="separate"/>
                      </w:r>
                      <w:r>
                        <w:rPr>
                          <w:noProof/>
                          <w:sz w:val="18"/>
                        </w:rPr>
                        <w:t>CP49272S01</w:t>
                      </w:r>
                      <w:r>
                        <w:rPr>
                          <w:sz w:val="18"/>
                        </w:rPr>
                        <w:fldChar w:fldCharType="end"/>
                      </w:r>
                    </w:p>
                  </w:txbxContent>
                </v:textbox>
                <w10:wrap anchory="margin"/>
                <w10:anchorlock/>
              </v:shape>
            </w:pict>
          </mc:Fallback>
        </mc:AlternateContent>
      </w:r>
    </w:p>
    <w:sectPr w:rsidR="0028765C" w:rsidRPr="00CF3BF0" w:rsidSect="00CF3BF0">
      <w:headerReference w:type="default" r:id="rId10"/>
      <w:type w:val="oddPage"/>
      <w:pgSz w:w="12240" w:h="15840"/>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6189" w14:textId="77777777" w:rsidR="00936A93" w:rsidRDefault="00936A93">
      <w:r>
        <w:separator/>
      </w:r>
    </w:p>
  </w:endnote>
  <w:endnote w:type="continuationSeparator" w:id="0">
    <w:p w14:paraId="3D9656FF" w14:textId="77777777" w:rsidR="00936A93" w:rsidRDefault="0093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FAB7" w14:textId="77777777" w:rsidR="00936A93" w:rsidRDefault="00936A93">
      <w:r>
        <w:separator/>
      </w:r>
    </w:p>
  </w:footnote>
  <w:footnote w:type="continuationSeparator" w:id="0">
    <w:p w14:paraId="59F60001" w14:textId="77777777" w:rsidR="00936A93" w:rsidRDefault="0093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C4D0" w14:textId="77777777" w:rsidR="009B7276" w:rsidRDefault="004D089C">
    <w:pPr>
      <w:pStyle w:val="Header"/>
      <w:tabs>
        <w:tab w:val="clear" w:pos="4320"/>
        <w:tab w:val="clear" w:pos="8640"/>
        <w:tab w:val="center" w:pos="1550"/>
        <w:tab w:val="right" w:pos="1780"/>
      </w:tabs>
      <w:ind w:right="360"/>
    </w:pPr>
    <w:r>
      <w:t xml:space="preserve">- </w:t>
    </w:r>
    <w:r>
      <w:fldChar w:fldCharType="begin"/>
    </w:r>
    <w:r>
      <w:instrText xml:space="preserve"> PAGE </w:instrText>
    </w:r>
    <w:r>
      <w:fldChar w:fldCharType="separate"/>
    </w:r>
    <w:r w:rsidR="00A64D36">
      <w:rP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E5E"/>
    <w:multiLevelType w:val="hybridMultilevel"/>
    <w:tmpl w:val="11CC0420"/>
    <w:styleLink w:val="ImportedStyle1"/>
    <w:lvl w:ilvl="0" w:tplc="BDC00056">
      <w:start w:val="1"/>
      <w:numFmt w:val="upperRoman"/>
      <w:lvlText w:val="%1."/>
      <w:lvlJc w:val="left"/>
      <w:pPr>
        <w:tabs>
          <w:tab w:val="left" w:pos="720"/>
          <w:tab w:val="left" w:pos="2160"/>
          <w:tab w:val="left" w:pos="2880"/>
          <w:tab w:val="left" w:pos="3600"/>
          <w:tab w:val="left" w:pos="4320"/>
          <w:tab w:val="left" w:pos="5760"/>
          <w:tab w:val="left" w:pos="6480"/>
          <w:tab w:val="left" w:pos="7200"/>
          <w:tab w:val="left" w:pos="7920"/>
        </w:tabs>
        <w:ind w:left="69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C15A0">
      <w:start w:val="1"/>
      <w:numFmt w:val="upperRoman"/>
      <w:lvlText w:val="%2."/>
      <w:lvlJc w:val="left"/>
      <w:pPr>
        <w:tabs>
          <w:tab w:val="left" w:pos="720"/>
          <w:tab w:val="left" w:pos="2160"/>
          <w:tab w:val="left" w:pos="2880"/>
          <w:tab w:val="left" w:pos="3600"/>
          <w:tab w:val="left" w:pos="4320"/>
          <w:tab w:val="left" w:pos="5760"/>
          <w:tab w:val="left" w:pos="6480"/>
          <w:tab w:val="left" w:pos="7200"/>
          <w:tab w:val="left" w:pos="7920"/>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4E5A4C">
      <w:start w:val="1"/>
      <w:numFmt w:val="decimal"/>
      <w:lvlText w:val="%3."/>
      <w:lvlJc w:val="left"/>
      <w:pPr>
        <w:tabs>
          <w:tab w:val="left" w:pos="720"/>
          <w:tab w:val="left" w:pos="2160"/>
          <w:tab w:val="left" w:pos="2880"/>
          <w:tab w:val="left" w:pos="3600"/>
          <w:tab w:val="left" w:pos="4320"/>
          <w:tab w:val="left" w:pos="5760"/>
          <w:tab w:val="left" w:pos="6480"/>
          <w:tab w:val="left" w:pos="7200"/>
          <w:tab w:val="left" w:pos="7920"/>
        </w:tabs>
        <w:ind w:left="1832" w:hanging="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02148">
      <w:start w:val="1"/>
      <w:numFmt w:val="decimal"/>
      <w:lvlText w:val="%4."/>
      <w:lvlJc w:val="left"/>
      <w:pPr>
        <w:tabs>
          <w:tab w:val="left" w:pos="720"/>
          <w:tab w:val="left" w:pos="2160"/>
          <w:tab w:val="left" w:pos="2880"/>
          <w:tab w:val="left" w:pos="3600"/>
          <w:tab w:val="left" w:pos="4320"/>
          <w:tab w:val="left" w:pos="5760"/>
          <w:tab w:val="left" w:pos="6480"/>
          <w:tab w:val="left" w:pos="7200"/>
          <w:tab w:val="left" w:pos="7920"/>
        </w:tabs>
        <w:ind w:left="2632"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260658">
      <w:start w:val="1"/>
      <w:numFmt w:val="decimal"/>
      <w:lvlText w:val="%5."/>
      <w:lvlJc w:val="left"/>
      <w:pPr>
        <w:tabs>
          <w:tab w:val="left" w:pos="720"/>
          <w:tab w:val="left" w:pos="2160"/>
          <w:tab w:val="left" w:pos="2880"/>
          <w:tab w:val="left" w:pos="3600"/>
          <w:tab w:val="left" w:pos="4320"/>
          <w:tab w:val="left" w:pos="5760"/>
          <w:tab w:val="left" w:pos="6480"/>
          <w:tab w:val="left" w:pos="7200"/>
          <w:tab w:val="left" w:pos="7920"/>
        </w:tabs>
        <w:ind w:left="3432"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8EE9E">
      <w:start w:val="1"/>
      <w:numFmt w:val="decimal"/>
      <w:lvlText w:val="%6."/>
      <w:lvlJc w:val="left"/>
      <w:pPr>
        <w:tabs>
          <w:tab w:val="left" w:pos="720"/>
          <w:tab w:val="left" w:pos="2160"/>
          <w:tab w:val="left" w:pos="2880"/>
          <w:tab w:val="left" w:pos="3600"/>
          <w:tab w:val="left" w:pos="4320"/>
          <w:tab w:val="left" w:pos="5760"/>
          <w:tab w:val="left" w:pos="6480"/>
          <w:tab w:val="left" w:pos="7200"/>
          <w:tab w:val="left" w:pos="7920"/>
        </w:tabs>
        <w:ind w:left="4232"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21396">
      <w:start w:val="1"/>
      <w:numFmt w:val="decimal"/>
      <w:lvlText w:val="%7."/>
      <w:lvlJc w:val="left"/>
      <w:pPr>
        <w:tabs>
          <w:tab w:val="left" w:pos="720"/>
          <w:tab w:val="left" w:pos="2160"/>
          <w:tab w:val="left" w:pos="2880"/>
          <w:tab w:val="left" w:pos="3600"/>
          <w:tab w:val="left" w:pos="4320"/>
          <w:tab w:val="left" w:pos="5760"/>
          <w:tab w:val="left" w:pos="6480"/>
          <w:tab w:val="left" w:pos="7200"/>
          <w:tab w:val="left" w:pos="7920"/>
        </w:tabs>
        <w:ind w:left="5032"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E09D56">
      <w:start w:val="1"/>
      <w:numFmt w:val="decimal"/>
      <w:lvlText w:val="%8."/>
      <w:lvlJc w:val="left"/>
      <w:pPr>
        <w:tabs>
          <w:tab w:val="left" w:pos="720"/>
          <w:tab w:val="left" w:pos="2160"/>
          <w:tab w:val="left" w:pos="2880"/>
          <w:tab w:val="left" w:pos="3600"/>
          <w:tab w:val="left" w:pos="4320"/>
          <w:tab w:val="left" w:pos="6480"/>
          <w:tab w:val="left" w:pos="7200"/>
          <w:tab w:val="left" w:pos="7920"/>
        </w:tabs>
        <w:ind w:left="5832"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3A7470">
      <w:start w:val="1"/>
      <w:numFmt w:val="decimal"/>
      <w:lvlText w:val="%9."/>
      <w:lvlJc w:val="left"/>
      <w:pPr>
        <w:tabs>
          <w:tab w:val="left" w:pos="720"/>
          <w:tab w:val="left" w:pos="2160"/>
          <w:tab w:val="left" w:pos="2880"/>
          <w:tab w:val="left" w:pos="3600"/>
          <w:tab w:val="left" w:pos="4320"/>
          <w:tab w:val="left" w:pos="5760"/>
          <w:tab w:val="left" w:pos="7200"/>
          <w:tab w:val="left" w:pos="7920"/>
        </w:tabs>
        <w:ind w:left="6632"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497636"/>
    <w:multiLevelType w:val="hybridMultilevel"/>
    <w:tmpl w:val="9A96F84E"/>
    <w:styleLink w:val="ImportedStyle2"/>
    <w:lvl w:ilvl="0" w:tplc="83BE7D50">
      <w:start w:val="1"/>
      <w:numFmt w:val="decimal"/>
      <w:lvlText w:val="%1."/>
      <w:lvlJc w:val="left"/>
      <w:pPr>
        <w:tabs>
          <w:tab w:val="num" w:pos="1380"/>
          <w:tab w:val="left" w:pos="1440"/>
        </w:tabs>
        <w:ind w:left="4260" w:hanging="3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9DF6">
      <w:start w:val="1"/>
      <w:numFmt w:val="decimal"/>
      <w:lvlText w:val="%2."/>
      <w:lvlJc w:val="left"/>
      <w:pPr>
        <w:tabs>
          <w:tab w:val="num" w:pos="1440"/>
        </w:tabs>
        <w:ind w:left="43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C8A5A">
      <w:start w:val="1"/>
      <w:numFmt w:val="lowerRoman"/>
      <w:lvlText w:val="%3."/>
      <w:lvlJc w:val="left"/>
      <w:pPr>
        <w:tabs>
          <w:tab w:val="left" w:pos="1440"/>
          <w:tab w:val="num" w:pos="2160"/>
        </w:tabs>
        <w:ind w:left="5040" w:hanging="3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4DDF6">
      <w:start w:val="1"/>
      <w:numFmt w:val="decimal"/>
      <w:lvlText w:val="%4."/>
      <w:lvlJc w:val="left"/>
      <w:pPr>
        <w:tabs>
          <w:tab w:val="left" w:pos="1440"/>
          <w:tab w:val="num" w:pos="2880"/>
        </w:tabs>
        <w:ind w:left="576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7C7162">
      <w:start w:val="1"/>
      <w:numFmt w:val="lowerLetter"/>
      <w:lvlText w:val="%5."/>
      <w:lvlJc w:val="left"/>
      <w:pPr>
        <w:tabs>
          <w:tab w:val="left" w:pos="1440"/>
          <w:tab w:val="num" w:pos="3600"/>
        </w:tabs>
        <w:ind w:left="648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67F34">
      <w:start w:val="1"/>
      <w:numFmt w:val="lowerRoman"/>
      <w:lvlText w:val="%6."/>
      <w:lvlJc w:val="left"/>
      <w:pPr>
        <w:tabs>
          <w:tab w:val="left" w:pos="1440"/>
          <w:tab w:val="num" w:pos="4320"/>
        </w:tabs>
        <w:ind w:left="7200" w:hanging="3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1AFE98">
      <w:start w:val="1"/>
      <w:numFmt w:val="decimal"/>
      <w:lvlText w:val="%7."/>
      <w:lvlJc w:val="left"/>
      <w:pPr>
        <w:tabs>
          <w:tab w:val="left" w:pos="1440"/>
          <w:tab w:val="num" w:pos="5040"/>
        </w:tabs>
        <w:ind w:left="79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6C694">
      <w:start w:val="1"/>
      <w:numFmt w:val="lowerLetter"/>
      <w:lvlText w:val="%8."/>
      <w:lvlJc w:val="left"/>
      <w:pPr>
        <w:tabs>
          <w:tab w:val="left" w:pos="1440"/>
          <w:tab w:val="num" w:pos="5760"/>
        </w:tabs>
        <w:ind w:left="864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287D26">
      <w:start w:val="1"/>
      <w:numFmt w:val="lowerRoman"/>
      <w:lvlText w:val="%9."/>
      <w:lvlJc w:val="left"/>
      <w:pPr>
        <w:tabs>
          <w:tab w:val="left" w:pos="1440"/>
          <w:tab w:val="num" w:pos="6480"/>
        </w:tabs>
        <w:ind w:left="9360" w:hanging="3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B801919"/>
    <w:multiLevelType w:val="hybridMultilevel"/>
    <w:tmpl w:val="A28C7A7E"/>
    <w:lvl w:ilvl="0" w:tplc="9AC28D5A">
      <w:start w:val="1"/>
      <w:numFmt w:val="decimal"/>
      <w:lvlText w:val="%1."/>
      <w:lvlJc w:val="left"/>
      <w:pPr>
        <w:ind w:left="720" w:hanging="360"/>
      </w:pPr>
      <w:rPr>
        <w:rFonts w:ascii="Times New Roman" w:hAnsi="Times New Roman" w:cs="Times New Roman"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3" w15:restartNumberingAfterBreak="0">
    <w:nsid w:val="2EF7692B"/>
    <w:multiLevelType w:val="hybridMultilevel"/>
    <w:tmpl w:val="9A96F84E"/>
    <w:numStyleLink w:val="ImportedStyle2"/>
  </w:abstractNum>
  <w:abstractNum w:abstractNumId="4" w15:restartNumberingAfterBreak="0">
    <w:nsid w:val="2EFD5038"/>
    <w:multiLevelType w:val="hybridMultilevel"/>
    <w:tmpl w:val="D44C1332"/>
    <w:lvl w:ilvl="0" w:tplc="ABCC583C">
      <w:start w:val="1"/>
      <w:numFmt w:val="decimal"/>
      <w:lvlText w:val="%1."/>
      <w:lvlJc w:val="left"/>
      <w:pPr>
        <w:tabs>
          <w:tab w:val="num" w:pos="720"/>
        </w:tabs>
        <w:ind w:left="720" w:hanging="360"/>
      </w:pPr>
      <w:rPr>
        <w:vanish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BD4595A"/>
    <w:multiLevelType w:val="hybridMultilevel"/>
    <w:tmpl w:val="11CC0420"/>
    <w:numStyleLink w:val="ImportedStyle1"/>
  </w:abstractNum>
  <w:num w:numId="1" w16cid:durableId="326055409">
    <w:abstractNumId w:val="0"/>
  </w:num>
  <w:num w:numId="2" w16cid:durableId="331493555">
    <w:abstractNumId w:val="5"/>
  </w:num>
  <w:num w:numId="3" w16cid:durableId="1142892305">
    <w:abstractNumId w:val="1"/>
  </w:num>
  <w:num w:numId="4" w16cid:durableId="1946036973">
    <w:abstractNumId w:val="3"/>
  </w:num>
  <w:num w:numId="5" w16cid:durableId="905991198">
    <w:abstractNumId w:val="3"/>
    <w:lvlOverride w:ilvl="0">
      <w:lvl w:ilvl="0" w:tplc="49A22C1A">
        <w:start w:val="1"/>
        <w:numFmt w:val="decimal"/>
        <w:lvlText w:val="%1."/>
        <w:lvlJc w:val="left"/>
        <w:pPr>
          <w:tabs>
            <w:tab w:val="num" w:pos="1380"/>
          </w:tabs>
          <w:ind w:left="4260" w:hanging="3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7EDC96">
        <w:start w:val="1"/>
        <w:numFmt w:val="decimal"/>
        <w:lvlText w:val="%2."/>
        <w:lvlJc w:val="left"/>
        <w:pPr>
          <w:tabs>
            <w:tab w:val="left" w:pos="720"/>
            <w:tab w:val="num" w:pos="1440"/>
          </w:tabs>
          <w:ind w:left="432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E2DEFA">
        <w:start w:val="1"/>
        <w:numFmt w:val="lowerRoman"/>
        <w:lvlText w:val="%3."/>
        <w:lvlJc w:val="left"/>
        <w:pPr>
          <w:tabs>
            <w:tab w:val="left" w:pos="720"/>
            <w:tab w:val="left" w:pos="1440"/>
            <w:tab w:val="num" w:pos="2160"/>
          </w:tabs>
          <w:ind w:left="5040" w:hanging="3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F0F35E">
        <w:start w:val="1"/>
        <w:numFmt w:val="decimal"/>
        <w:lvlText w:val="%4."/>
        <w:lvlJc w:val="left"/>
        <w:pPr>
          <w:tabs>
            <w:tab w:val="left" w:pos="720"/>
            <w:tab w:val="left" w:pos="1440"/>
            <w:tab w:val="num" w:pos="2880"/>
          </w:tabs>
          <w:ind w:left="576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70F194">
        <w:start w:val="1"/>
        <w:numFmt w:val="lowerLetter"/>
        <w:lvlText w:val="%5."/>
        <w:lvlJc w:val="left"/>
        <w:pPr>
          <w:tabs>
            <w:tab w:val="left" w:pos="720"/>
            <w:tab w:val="left" w:pos="1440"/>
            <w:tab w:val="num" w:pos="3600"/>
          </w:tabs>
          <w:ind w:left="648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3E8804">
        <w:start w:val="1"/>
        <w:numFmt w:val="lowerRoman"/>
        <w:lvlText w:val="%6."/>
        <w:lvlJc w:val="left"/>
        <w:pPr>
          <w:tabs>
            <w:tab w:val="left" w:pos="720"/>
            <w:tab w:val="left" w:pos="1440"/>
            <w:tab w:val="num" w:pos="4320"/>
          </w:tabs>
          <w:ind w:left="7200" w:hanging="3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ACE5FA">
        <w:start w:val="1"/>
        <w:numFmt w:val="decimal"/>
        <w:lvlText w:val="%7."/>
        <w:lvlJc w:val="left"/>
        <w:pPr>
          <w:tabs>
            <w:tab w:val="left" w:pos="720"/>
            <w:tab w:val="left" w:pos="1440"/>
            <w:tab w:val="num" w:pos="5040"/>
          </w:tabs>
          <w:ind w:left="792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B4B04A">
        <w:start w:val="1"/>
        <w:numFmt w:val="lowerLetter"/>
        <w:lvlText w:val="%8."/>
        <w:lvlJc w:val="left"/>
        <w:pPr>
          <w:tabs>
            <w:tab w:val="left" w:pos="720"/>
            <w:tab w:val="left" w:pos="1440"/>
            <w:tab w:val="num" w:pos="5760"/>
          </w:tabs>
          <w:ind w:left="864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204A3C">
        <w:start w:val="1"/>
        <w:numFmt w:val="lowerRoman"/>
        <w:lvlText w:val="%9."/>
        <w:lvlJc w:val="left"/>
        <w:pPr>
          <w:tabs>
            <w:tab w:val="left" w:pos="720"/>
            <w:tab w:val="left" w:pos="1440"/>
            <w:tab w:val="num" w:pos="6480"/>
          </w:tabs>
          <w:ind w:left="9360" w:hanging="3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737121557">
    <w:abstractNumId w:val="5"/>
  </w:num>
  <w:num w:numId="7" w16cid:durableId="1755321034">
    <w:abstractNumId w:val="4"/>
  </w:num>
  <w:num w:numId="8" w16cid:durableId="303049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76"/>
    <w:rsid w:val="00001989"/>
    <w:rsid w:val="00014D54"/>
    <w:rsid w:val="0001722D"/>
    <w:rsid w:val="00017237"/>
    <w:rsid w:val="00027487"/>
    <w:rsid w:val="00027C94"/>
    <w:rsid w:val="000375D3"/>
    <w:rsid w:val="0004555F"/>
    <w:rsid w:val="00047165"/>
    <w:rsid w:val="0005248A"/>
    <w:rsid w:val="00056339"/>
    <w:rsid w:val="00064088"/>
    <w:rsid w:val="000664F2"/>
    <w:rsid w:val="00067B63"/>
    <w:rsid w:val="000728B0"/>
    <w:rsid w:val="000761F0"/>
    <w:rsid w:val="0008596C"/>
    <w:rsid w:val="00085E87"/>
    <w:rsid w:val="000976DD"/>
    <w:rsid w:val="000A334D"/>
    <w:rsid w:val="000A3E81"/>
    <w:rsid w:val="000B05BE"/>
    <w:rsid w:val="000B334A"/>
    <w:rsid w:val="000B7989"/>
    <w:rsid w:val="000E0A26"/>
    <w:rsid w:val="000E6638"/>
    <w:rsid w:val="000F3389"/>
    <w:rsid w:val="000F46FA"/>
    <w:rsid w:val="00103AEA"/>
    <w:rsid w:val="0010501F"/>
    <w:rsid w:val="00105923"/>
    <w:rsid w:val="00117811"/>
    <w:rsid w:val="0012386F"/>
    <w:rsid w:val="001271DC"/>
    <w:rsid w:val="00127A91"/>
    <w:rsid w:val="00133B28"/>
    <w:rsid w:val="00133D7E"/>
    <w:rsid w:val="0013635C"/>
    <w:rsid w:val="00140341"/>
    <w:rsid w:val="00142DBF"/>
    <w:rsid w:val="001465F8"/>
    <w:rsid w:val="001567FE"/>
    <w:rsid w:val="0016009B"/>
    <w:rsid w:val="00163C8A"/>
    <w:rsid w:val="001714EF"/>
    <w:rsid w:val="00172913"/>
    <w:rsid w:val="00174C08"/>
    <w:rsid w:val="00185131"/>
    <w:rsid w:val="00185607"/>
    <w:rsid w:val="001A0C63"/>
    <w:rsid w:val="001A2B41"/>
    <w:rsid w:val="001C0269"/>
    <w:rsid w:val="001C4371"/>
    <w:rsid w:val="001D46D1"/>
    <w:rsid w:val="001D4D93"/>
    <w:rsid w:val="001D51DD"/>
    <w:rsid w:val="001D61DD"/>
    <w:rsid w:val="001E5E4D"/>
    <w:rsid w:val="001F304C"/>
    <w:rsid w:val="00212FA7"/>
    <w:rsid w:val="00214767"/>
    <w:rsid w:val="00214CF5"/>
    <w:rsid w:val="00224424"/>
    <w:rsid w:val="002417C4"/>
    <w:rsid w:val="00261879"/>
    <w:rsid w:val="00282642"/>
    <w:rsid w:val="00283194"/>
    <w:rsid w:val="0028659F"/>
    <w:rsid w:val="0028765C"/>
    <w:rsid w:val="002A3C21"/>
    <w:rsid w:val="002B1E9E"/>
    <w:rsid w:val="002C5966"/>
    <w:rsid w:val="002E0E73"/>
    <w:rsid w:val="00322D36"/>
    <w:rsid w:val="0032444D"/>
    <w:rsid w:val="003345DB"/>
    <w:rsid w:val="003404A7"/>
    <w:rsid w:val="0035061D"/>
    <w:rsid w:val="003542BB"/>
    <w:rsid w:val="00362130"/>
    <w:rsid w:val="00363F80"/>
    <w:rsid w:val="003963DC"/>
    <w:rsid w:val="00396C7D"/>
    <w:rsid w:val="003C47B2"/>
    <w:rsid w:val="003F355E"/>
    <w:rsid w:val="004012F4"/>
    <w:rsid w:val="00407BBB"/>
    <w:rsid w:val="004224B3"/>
    <w:rsid w:val="00443823"/>
    <w:rsid w:val="004439E1"/>
    <w:rsid w:val="004471B6"/>
    <w:rsid w:val="00471D49"/>
    <w:rsid w:val="004A3A6A"/>
    <w:rsid w:val="004C3401"/>
    <w:rsid w:val="004C725E"/>
    <w:rsid w:val="004D089C"/>
    <w:rsid w:val="004E16CF"/>
    <w:rsid w:val="004E5682"/>
    <w:rsid w:val="004F5FE8"/>
    <w:rsid w:val="00510D6A"/>
    <w:rsid w:val="00511E10"/>
    <w:rsid w:val="005153DB"/>
    <w:rsid w:val="00534D28"/>
    <w:rsid w:val="005371D7"/>
    <w:rsid w:val="005412DD"/>
    <w:rsid w:val="00542D4D"/>
    <w:rsid w:val="00555E98"/>
    <w:rsid w:val="00557032"/>
    <w:rsid w:val="005650F8"/>
    <w:rsid w:val="0059552E"/>
    <w:rsid w:val="005A1238"/>
    <w:rsid w:val="005B5DD8"/>
    <w:rsid w:val="005C5845"/>
    <w:rsid w:val="005C734F"/>
    <w:rsid w:val="005D3263"/>
    <w:rsid w:val="005D596F"/>
    <w:rsid w:val="005D65FF"/>
    <w:rsid w:val="005E3C39"/>
    <w:rsid w:val="005F3BFF"/>
    <w:rsid w:val="00606CEE"/>
    <w:rsid w:val="00613D42"/>
    <w:rsid w:val="006157CF"/>
    <w:rsid w:val="00634F45"/>
    <w:rsid w:val="006442E5"/>
    <w:rsid w:val="006510E4"/>
    <w:rsid w:val="0066365F"/>
    <w:rsid w:val="00674A06"/>
    <w:rsid w:val="00680115"/>
    <w:rsid w:val="00680D9F"/>
    <w:rsid w:val="006956F9"/>
    <w:rsid w:val="006A0B81"/>
    <w:rsid w:val="006A7145"/>
    <w:rsid w:val="006B0E7D"/>
    <w:rsid w:val="006B23BC"/>
    <w:rsid w:val="006B381D"/>
    <w:rsid w:val="006B46B4"/>
    <w:rsid w:val="006B7618"/>
    <w:rsid w:val="006C4E74"/>
    <w:rsid w:val="006F435B"/>
    <w:rsid w:val="0070685C"/>
    <w:rsid w:val="00712EBD"/>
    <w:rsid w:val="0071324E"/>
    <w:rsid w:val="00713D2B"/>
    <w:rsid w:val="00716787"/>
    <w:rsid w:val="0072673A"/>
    <w:rsid w:val="00730580"/>
    <w:rsid w:val="00747DC0"/>
    <w:rsid w:val="00754621"/>
    <w:rsid w:val="007752A9"/>
    <w:rsid w:val="00795467"/>
    <w:rsid w:val="007C1D46"/>
    <w:rsid w:val="007C30F7"/>
    <w:rsid w:val="007F417C"/>
    <w:rsid w:val="007F7072"/>
    <w:rsid w:val="00807E34"/>
    <w:rsid w:val="00811B1A"/>
    <w:rsid w:val="00814D53"/>
    <w:rsid w:val="00815518"/>
    <w:rsid w:val="00830BAB"/>
    <w:rsid w:val="00837DB5"/>
    <w:rsid w:val="00845641"/>
    <w:rsid w:val="00847069"/>
    <w:rsid w:val="00865FAB"/>
    <w:rsid w:val="00867A5E"/>
    <w:rsid w:val="008709F7"/>
    <w:rsid w:val="008731A3"/>
    <w:rsid w:val="00884777"/>
    <w:rsid w:val="00885402"/>
    <w:rsid w:val="008971ED"/>
    <w:rsid w:val="008A57EB"/>
    <w:rsid w:val="008B2802"/>
    <w:rsid w:val="008B3AC5"/>
    <w:rsid w:val="008B42D6"/>
    <w:rsid w:val="008B6422"/>
    <w:rsid w:val="008C5387"/>
    <w:rsid w:val="008D4801"/>
    <w:rsid w:val="008D53AF"/>
    <w:rsid w:val="008E6FD6"/>
    <w:rsid w:val="009057B1"/>
    <w:rsid w:val="009276B6"/>
    <w:rsid w:val="0093247A"/>
    <w:rsid w:val="00936A93"/>
    <w:rsid w:val="009510E7"/>
    <w:rsid w:val="00956E85"/>
    <w:rsid w:val="00957295"/>
    <w:rsid w:val="00960780"/>
    <w:rsid w:val="0096088C"/>
    <w:rsid w:val="00962E1F"/>
    <w:rsid w:val="009679E1"/>
    <w:rsid w:val="0097432F"/>
    <w:rsid w:val="00980896"/>
    <w:rsid w:val="009814A0"/>
    <w:rsid w:val="00993463"/>
    <w:rsid w:val="009A15D3"/>
    <w:rsid w:val="009A7DBD"/>
    <w:rsid w:val="009B7276"/>
    <w:rsid w:val="009C1515"/>
    <w:rsid w:val="009E6FB4"/>
    <w:rsid w:val="009F7A06"/>
    <w:rsid w:val="00A0066C"/>
    <w:rsid w:val="00A04C6A"/>
    <w:rsid w:val="00A15490"/>
    <w:rsid w:val="00A15D36"/>
    <w:rsid w:val="00A20A9B"/>
    <w:rsid w:val="00A27DBA"/>
    <w:rsid w:val="00A36A9E"/>
    <w:rsid w:val="00A64D36"/>
    <w:rsid w:val="00A74078"/>
    <w:rsid w:val="00A74A2A"/>
    <w:rsid w:val="00A774F9"/>
    <w:rsid w:val="00A85624"/>
    <w:rsid w:val="00A960FB"/>
    <w:rsid w:val="00AD20CA"/>
    <w:rsid w:val="00AE4CC9"/>
    <w:rsid w:val="00AF0FA5"/>
    <w:rsid w:val="00B024BD"/>
    <w:rsid w:val="00B0540D"/>
    <w:rsid w:val="00B07013"/>
    <w:rsid w:val="00B11F40"/>
    <w:rsid w:val="00B21D96"/>
    <w:rsid w:val="00B429E1"/>
    <w:rsid w:val="00B46642"/>
    <w:rsid w:val="00B53B90"/>
    <w:rsid w:val="00B575D0"/>
    <w:rsid w:val="00B65CE9"/>
    <w:rsid w:val="00B74E9F"/>
    <w:rsid w:val="00B87582"/>
    <w:rsid w:val="00B90789"/>
    <w:rsid w:val="00BA05DA"/>
    <w:rsid w:val="00BA3327"/>
    <w:rsid w:val="00BB59F9"/>
    <w:rsid w:val="00BC054D"/>
    <w:rsid w:val="00BC4011"/>
    <w:rsid w:val="00BD19D4"/>
    <w:rsid w:val="00BD3F38"/>
    <w:rsid w:val="00BD7DC6"/>
    <w:rsid w:val="00BE2BA2"/>
    <w:rsid w:val="00BF0CC1"/>
    <w:rsid w:val="00C128C1"/>
    <w:rsid w:val="00C1648F"/>
    <w:rsid w:val="00C2322B"/>
    <w:rsid w:val="00C41CBA"/>
    <w:rsid w:val="00C4420A"/>
    <w:rsid w:val="00C45EB2"/>
    <w:rsid w:val="00C55C40"/>
    <w:rsid w:val="00C65645"/>
    <w:rsid w:val="00C736C2"/>
    <w:rsid w:val="00C7558A"/>
    <w:rsid w:val="00CA1132"/>
    <w:rsid w:val="00CB2047"/>
    <w:rsid w:val="00CC24B1"/>
    <w:rsid w:val="00CD1411"/>
    <w:rsid w:val="00CD3347"/>
    <w:rsid w:val="00CD341C"/>
    <w:rsid w:val="00CD41BE"/>
    <w:rsid w:val="00CE43CD"/>
    <w:rsid w:val="00CF3BF0"/>
    <w:rsid w:val="00D23BEC"/>
    <w:rsid w:val="00D412C5"/>
    <w:rsid w:val="00D4296F"/>
    <w:rsid w:val="00D43F47"/>
    <w:rsid w:val="00D47D0D"/>
    <w:rsid w:val="00D50DCE"/>
    <w:rsid w:val="00D54967"/>
    <w:rsid w:val="00D55357"/>
    <w:rsid w:val="00D61CDE"/>
    <w:rsid w:val="00D70FCB"/>
    <w:rsid w:val="00D71797"/>
    <w:rsid w:val="00D76D74"/>
    <w:rsid w:val="00D819D2"/>
    <w:rsid w:val="00D94C86"/>
    <w:rsid w:val="00D97417"/>
    <w:rsid w:val="00DA4A4F"/>
    <w:rsid w:val="00DA6DBE"/>
    <w:rsid w:val="00DC3516"/>
    <w:rsid w:val="00DC3F35"/>
    <w:rsid w:val="00DD2585"/>
    <w:rsid w:val="00DF7268"/>
    <w:rsid w:val="00DF74B0"/>
    <w:rsid w:val="00E06A85"/>
    <w:rsid w:val="00E07C77"/>
    <w:rsid w:val="00E15F13"/>
    <w:rsid w:val="00E2012D"/>
    <w:rsid w:val="00E21D0C"/>
    <w:rsid w:val="00E24BF2"/>
    <w:rsid w:val="00E47FFC"/>
    <w:rsid w:val="00E551AE"/>
    <w:rsid w:val="00E624DB"/>
    <w:rsid w:val="00E8205F"/>
    <w:rsid w:val="00E86E35"/>
    <w:rsid w:val="00E87392"/>
    <w:rsid w:val="00EA266D"/>
    <w:rsid w:val="00EB3F8F"/>
    <w:rsid w:val="00EC7762"/>
    <w:rsid w:val="00ED2A9B"/>
    <w:rsid w:val="00ED4692"/>
    <w:rsid w:val="00ED4DD6"/>
    <w:rsid w:val="00EE3E2F"/>
    <w:rsid w:val="00EE69D9"/>
    <w:rsid w:val="00EF5087"/>
    <w:rsid w:val="00F0020C"/>
    <w:rsid w:val="00F175D1"/>
    <w:rsid w:val="00F22C4D"/>
    <w:rsid w:val="00F270F6"/>
    <w:rsid w:val="00F46D75"/>
    <w:rsid w:val="00F5278B"/>
    <w:rsid w:val="00F6109F"/>
    <w:rsid w:val="00F677DA"/>
    <w:rsid w:val="00F67ACC"/>
    <w:rsid w:val="00F70BED"/>
    <w:rsid w:val="00F747BA"/>
    <w:rsid w:val="00F74EEF"/>
    <w:rsid w:val="00F8405A"/>
    <w:rsid w:val="00FB0860"/>
    <w:rsid w:val="00FB44E5"/>
    <w:rsid w:val="00FB59B8"/>
    <w:rsid w:val="00FC211E"/>
    <w:rsid w:val="00FC50A9"/>
    <w:rsid w:val="00FD2B9A"/>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808EF36"/>
  <w15:chartTrackingRefBased/>
  <w15:docId w15:val="{65CF4942-5F88-48E8-B2AB-524D2CE9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2"/>
      <w:szCs w:val="22"/>
      <w:u w:color="000000"/>
      <w:bdr w:val="nil"/>
    </w:rPr>
  </w:style>
  <w:style w:type="paragraph" w:styleId="Heading1">
    <w:name w:val="heading 1"/>
    <w:aliases w:val="Heading 1 Char Char,Heading 1 Char1,Heading 1 Char1 Car"/>
    <w:basedOn w:val="Normal"/>
    <w:next w:val="Normal"/>
    <w:link w:val="Heading1Char"/>
    <w:qFormat/>
    <w:rsid w:val="00CE43CD"/>
    <w:pPr>
      <w:outlineLvl w:val="0"/>
    </w:pPr>
    <w:rPr>
      <w:rFonts w:eastAsia="Calibri"/>
      <w:bCs/>
      <w:szCs w:val="28"/>
      <w:bdr w:val="none" w:sz="0" w:space="0" w:color="auto"/>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CPClassification">
    <w:name w:val="CP Classification"/>
    <w:pPr>
      <w:pBdr>
        <w:top w:val="nil"/>
        <w:left w:val="nil"/>
        <w:bottom w:val="nil"/>
        <w:right w:val="nil"/>
        <w:between w:val="nil"/>
        <w:bar w:val="nil"/>
      </w:pBdr>
      <w:tabs>
        <w:tab w:val="center" w:pos="2160"/>
        <w:tab w:val="left" w:pos="7200"/>
      </w:tabs>
      <w:ind w:left="7200"/>
      <w:jc w:val="both"/>
    </w:pPr>
    <w:rPr>
      <w:rFonts w:cs="Arial Unicode MS"/>
      <w:color w:val="000000"/>
      <w:sz w:val="22"/>
      <w:szCs w:val="22"/>
      <w:u w:color="000000"/>
      <w:bdr w:val="nil"/>
      <w:lang w:val="pt-PT"/>
    </w:rPr>
  </w:style>
  <w:style w:type="paragraph" w:styleId="Header">
    <w:name w:val="header"/>
    <w:aliases w:val="encabezado"/>
    <w:link w:val="HeaderChar"/>
    <w:pPr>
      <w:pBdr>
        <w:top w:val="nil"/>
        <w:left w:val="nil"/>
        <w:bottom w:val="nil"/>
        <w:right w:val="nil"/>
        <w:between w:val="nil"/>
        <w:bar w:val="nil"/>
      </w:pBdr>
      <w:tabs>
        <w:tab w:val="center" w:pos="4320"/>
        <w:tab w:val="right" w:pos="8640"/>
      </w:tabs>
    </w:pPr>
    <w:rPr>
      <w:rFonts w:eastAsia="Times New Roman"/>
      <w:color w:val="000000"/>
      <w:sz w:val="22"/>
      <w:szCs w:val="22"/>
      <w:u w:color="000000"/>
      <w:bdr w:val="nil"/>
    </w:rPr>
  </w:style>
  <w:style w:type="paragraph" w:customStyle="1" w:styleId="CPTitle">
    <w:name w:val="CP Title"/>
    <w:pPr>
      <w:pBdr>
        <w:top w:val="nil"/>
        <w:left w:val="nil"/>
        <w:bottom w:val="nil"/>
        <w:right w:val="nil"/>
        <w:between w:val="nil"/>
        <w:bar w:val="nil"/>
      </w:pBdr>
      <w:tabs>
        <w:tab w:val="left" w:pos="720"/>
        <w:tab w:val="left" w:pos="1440"/>
        <w:tab w:val="left" w:pos="2160"/>
        <w:tab w:val="left" w:pos="2880"/>
        <w:tab w:val="left" w:pos="7200"/>
        <w:tab w:val="left" w:pos="7920"/>
        <w:tab w:val="left" w:pos="8640"/>
      </w:tabs>
    </w:pPr>
    <w:rPr>
      <w:rFonts w:eastAsia="Times New Roman"/>
      <w:color w:val="000000"/>
      <w:sz w:val="22"/>
      <w:szCs w:val="22"/>
      <w:u w:color="000000"/>
      <w:bdr w:val="nil"/>
      <w:lang w:val="pt-P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text1">
    <w:name w:val="Body text 1"/>
    <w:pPr>
      <w:pBdr>
        <w:top w:val="nil"/>
        <w:left w:val="nil"/>
        <w:bottom w:val="nil"/>
        <w:right w:val="nil"/>
        <w:between w:val="nil"/>
        <w:bar w:val="nil"/>
      </w:pBdr>
      <w:spacing w:after="120"/>
      <w:ind w:firstLine="720"/>
      <w:jc w:val="both"/>
    </w:pPr>
    <w:rPr>
      <w:rFonts w:eastAsia="Times New Roman"/>
      <w:color w:val="000000"/>
      <w:sz w:val="22"/>
      <w:szCs w:val="22"/>
      <w:u w:color="000000"/>
      <w:bdr w:val="nil"/>
      <w:lang w:val="pt-PT"/>
    </w:rPr>
  </w:style>
  <w:style w:type="paragraph" w:styleId="NormalWeb">
    <w:name w:val="Normal (Web)"/>
    <w:pPr>
      <w:pBdr>
        <w:top w:val="nil"/>
        <w:left w:val="nil"/>
        <w:bottom w:val="nil"/>
        <w:right w:val="nil"/>
        <w:between w:val="nil"/>
        <w:bar w:val="nil"/>
      </w:pBdr>
      <w:spacing w:before="100" w:after="100"/>
    </w:pPr>
    <w:rPr>
      <w:rFonts w:cs="Arial Unicode MS"/>
      <w:color w:val="000000"/>
      <w:sz w:val="24"/>
      <w:szCs w:val="24"/>
      <w:u w:color="000000"/>
      <w:bdr w:val="nil"/>
    </w:rPr>
  </w:style>
  <w:style w:type="paragraph" w:styleId="ListParagraph">
    <w:name w:val="List Paragraph"/>
    <w:uiPriority w:val="72"/>
    <w:qFormat/>
    <w:pPr>
      <w:pBdr>
        <w:top w:val="nil"/>
        <w:left w:val="nil"/>
        <w:bottom w:val="nil"/>
        <w:right w:val="nil"/>
        <w:between w:val="nil"/>
        <w:bar w:val="nil"/>
      </w:pBdr>
      <w:ind w:left="708"/>
    </w:pPr>
    <w:rPr>
      <w:rFonts w:cs="Arial Unicode MS"/>
      <w:color w:val="000000"/>
      <w:sz w:val="24"/>
      <w:szCs w:val="24"/>
      <w:u w:color="000000"/>
      <w:bdr w:val="nil"/>
      <w:lang w:val="es-ES_tradnl"/>
    </w:rPr>
  </w:style>
  <w:style w:type="character" w:styleId="FollowedHyperlink">
    <w:name w:val="FollowedHyperlink"/>
    <w:uiPriority w:val="99"/>
    <w:semiHidden/>
    <w:unhideWhenUsed/>
    <w:rsid w:val="00212FA7"/>
    <w:rPr>
      <w:color w:val="800080"/>
      <w:u w:val="single"/>
    </w:rPr>
  </w:style>
  <w:style w:type="paragraph" w:styleId="TOC2">
    <w:name w:val="toc 2"/>
    <w:basedOn w:val="Normal"/>
    <w:next w:val="Normal"/>
    <w:autoRedefine/>
    <w:uiPriority w:val="39"/>
    <w:unhideWhenUsed/>
    <w:rsid w:val="00814D53"/>
    <w:pPr>
      <w:tabs>
        <w:tab w:val="left" w:pos="3060"/>
        <w:tab w:val="right" w:leader="dot" w:pos="9000"/>
      </w:tabs>
      <w:ind w:left="3060" w:right="1051" w:hanging="3060"/>
      <w:jc w:val="both"/>
    </w:pPr>
    <w:rPr>
      <w:rFonts w:ascii="Calibri" w:eastAsia="Calibri" w:hAnsi="Calibri"/>
      <w:color w:val="auto"/>
      <w:bdr w:val="none" w:sz="0" w:space="0" w:color="auto"/>
    </w:rPr>
  </w:style>
  <w:style w:type="paragraph" w:styleId="TOC1">
    <w:name w:val="toc 1"/>
    <w:basedOn w:val="Normal"/>
    <w:next w:val="Normal"/>
    <w:autoRedefine/>
    <w:uiPriority w:val="39"/>
    <w:unhideWhenUsed/>
    <w:rsid w:val="00814D53"/>
    <w:pPr>
      <w:tabs>
        <w:tab w:val="left" w:pos="3060"/>
        <w:tab w:val="right" w:leader="dot" w:pos="9000"/>
      </w:tabs>
      <w:ind w:left="3060" w:right="1051" w:hanging="3060"/>
      <w:jc w:val="both"/>
    </w:pPr>
    <w:rPr>
      <w:rFonts w:eastAsia="Calibri"/>
      <w:bCs/>
      <w:noProof/>
      <w:color w:val="auto"/>
      <w:bdr w:val="none" w:sz="0" w:space="0" w:color="auto"/>
      <w:lang w:val="es-ES" w:eastAsia="es-ES"/>
    </w:rPr>
  </w:style>
  <w:style w:type="character" w:customStyle="1" w:styleId="Heading1Char">
    <w:name w:val="Heading 1 Char"/>
    <w:aliases w:val="Heading 1 Char Char Char,Heading 1 Char1 Char,Heading 1 Char1 Car Char"/>
    <w:link w:val="Heading1"/>
    <w:rsid w:val="00CE43CD"/>
    <w:rPr>
      <w:rFonts w:eastAsia="Calibri"/>
      <w:bCs/>
      <w:color w:val="000000"/>
      <w:sz w:val="22"/>
      <w:szCs w:val="28"/>
    </w:rPr>
  </w:style>
  <w:style w:type="character" w:customStyle="1" w:styleId="HeaderChar">
    <w:name w:val="Header Char"/>
    <w:aliases w:val="encabezado Char"/>
    <w:link w:val="Header"/>
    <w:locked/>
    <w:rsid w:val="00CE43CD"/>
    <w:rPr>
      <w:rFonts w:eastAsia="Times New Roman"/>
      <w:color w:val="000000"/>
      <w:sz w:val="22"/>
      <w:szCs w:val="22"/>
      <w:u w:color="000000"/>
      <w:bdr w:val="nil"/>
      <w:lang w:val="en-US" w:eastAsia="en-US"/>
    </w:rPr>
  </w:style>
  <w:style w:type="character" w:styleId="Strong">
    <w:name w:val="Strong"/>
    <w:basedOn w:val="DefaultParagraphFont"/>
    <w:uiPriority w:val="22"/>
    <w:qFormat/>
    <w:rsid w:val="00E87392"/>
    <w:rPr>
      <w:b/>
      <w:bCs/>
    </w:rPr>
  </w:style>
  <w:style w:type="paragraph" w:styleId="FootnoteText">
    <w:name w:val="footnote text"/>
    <w:basedOn w:val="Normal"/>
    <w:link w:val="FootnoteTextChar"/>
    <w:uiPriority w:val="99"/>
    <w:semiHidden/>
    <w:unhideWhenUsed/>
    <w:rsid w:val="00E47FFC"/>
    <w:rPr>
      <w:sz w:val="20"/>
      <w:szCs w:val="20"/>
    </w:rPr>
  </w:style>
  <w:style w:type="character" w:customStyle="1" w:styleId="FootnoteTextChar">
    <w:name w:val="Footnote Text Char"/>
    <w:basedOn w:val="DefaultParagraphFont"/>
    <w:link w:val="FootnoteText"/>
    <w:uiPriority w:val="99"/>
    <w:semiHidden/>
    <w:rsid w:val="00E47FFC"/>
    <w:rPr>
      <w:rFonts w:eastAsia="Times New Roman"/>
      <w:color w:val="000000"/>
      <w:u w:color="000000"/>
      <w:bdr w:val="nil"/>
    </w:rPr>
  </w:style>
  <w:style w:type="character" w:styleId="FootnoteReference">
    <w:name w:val="footnote reference"/>
    <w:basedOn w:val="DefaultParagraphFont"/>
    <w:uiPriority w:val="99"/>
    <w:semiHidden/>
    <w:unhideWhenUsed/>
    <w:rsid w:val="00E47FFC"/>
    <w:rPr>
      <w:vertAlign w:val="superscript"/>
    </w:rPr>
  </w:style>
  <w:style w:type="paragraph" w:styleId="Footer">
    <w:name w:val="footer"/>
    <w:basedOn w:val="Normal"/>
    <w:link w:val="FooterChar"/>
    <w:uiPriority w:val="99"/>
    <w:unhideWhenUsed/>
    <w:rsid w:val="00CD3347"/>
    <w:pPr>
      <w:tabs>
        <w:tab w:val="center" w:pos="4680"/>
        <w:tab w:val="right" w:pos="9360"/>
      </w:tabs>
    </w:pPr>
  </w:style>
  <w:style w:type="character" w:customStyle="1" w:styleId="FooterChar">
    <w:name w:val="Footer Char"/>
    <w:basedOn w:val="DefaultParagraphFont"/>
    <w:link w:val="Footer"/>
    <w:uiPriority w:val="99"/>
    <w:rsid w:val="00CD3347"/>
    <w:rPr>
      <w:rFonts w:eastAsia="Times New Roman"/>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11676">
      <w:bodyDiv w:val="1"/>
      <w:marLeft w:val="0"/>
      <w:marRight w:val="0"/>
      <w:marTop w:val="0"/>
      <w:marBottom w:val="0"/>
      <w:divBdr>
        <w:top w:val="none" w:sz="0" w:space="0" w:color="auto"/>
        <w:left w:val="none" w:sz="0" w:space="0" w:color="auto"/>
        <w:bottom w:val="none" w:sz="0" w:space="0" w:color="auto"/>
        <w:right w:val="none" w:sz="0" w:space="0" w:color="auto"/>
      </w:divBdr>
    </w:div>
    <w:div w:id="204717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3A32-94CD-4A56-930C-7DB11CE6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RCortes</dc:creator>
  <cp:keywords/>
  <cp:lastModifiedBy>Mayorga, Georgina</cp:lastModifiedBy>
  <cp:revision>3</cp:revision>
  <cp:lastPrinted>2017-09-05T22:04:00Z</cp:lastPrinted>
  <dcterms:created xsi:type="dcterms:W3CDTF">2024-03-06T15:15:00Z</dcterms:created>
  <dcterms:modified xsi:type="dcterms:W3CDTF">2024-03-06T15:15:00Z</dcterms:modified>
</cp:coreProperties>
</file>