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0C71" w14:textId="7B44E66A" w:rsidR="009B7276" w:rsidRPr="008751A1" w:rsidRDefault="00717DCA" w:rsidP="008751A1">
      <w:pPr>
        <w:pStyle w:val="CPClassification"/>
        <w:widowControl w:val="0"/>
        <w:rPr>
          <w:rFonts w:cs="Times New Roman"/>
          <w:color w:val="auto"/>
          <w:lang w:val="es-MX"/>
        </w:rPr>
      </w:pPr>
      <w:r>
        <w:rPr>
          <w:rFonts w:cs="Times New Roman"/>
          <w:color w:val="auto"/>
          <w:bdr w:val="none" w:sz="0" w:space="0" w:color="auto"/>
          <w:lang w:val="es-MX"/>
        </w:rPr>
        <w:object w:dxaOrig="1440" w:dyaOrig="1440" w14:anchorId="22565E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alt="" style="position:absolute;left:0;text-align:left;margin-left:115.7pt;margin-top:-42pt;width:320.05pt;height:28.05pt;z-index:-251658752;mso-wrap-edited:f;mso-width-percent:0;mso-height-percent:0;mso-position-horizontal-relative:margin;mso-position-vertical-relative:margin;mso-width-percent:0;mso-height-percent:0" wrapcoords="3572 1580 2041 2634 170 7376 170 11590 2381 19493 5272 20020 11055 20020 17008 20020 21260 12117 21600 4215 18709 2107 9524 1580 3572 1580" o:allowincell="f" fillcolor="window">
            <v:imagedata r:id="rId8" o:title=""/>
            <w10:wrap type="square" anchorx="margin" anchory="margin"/>
          </v:shape>
          <o:OLEObject Type="Embed" ProgID="Word.Picture.8" ShapeID="_x0000_s2056" DrawAspect="Content" ObjectID="_1772457912" r:id="rId9"/>
        </w:object>
      </w:r>
      <w:r w:rsidR="004D089C" w:rsidRPr="008751A1">
        <w:rPr>
          <w:rFonts w:cs="Times New Roman"/>
          <w:color w:val="auto"/>
          <w:lang w:val="es-MX"/>
        </w:rPr>
        <w:t>OEA/</w:t>
      </w:r>
      <w:proofErr w:type="spellStart"/>
      <w:r w:rsidR="004D089C" w:rsidRPr="008751A1">
        <w:rPr>
          <w:rFonts w:cs="Times New Roman"/>
          <w:color w:val="auto"/>
          <w:lang w:val="es-MX"/>
        </w:rPr>
        <w:t>Ser.G</w:t>
      </w:r>
      <w:proofErr w:type="spellEnd"/>
    </w:p>
    <w:p w14:paraId="00B7500D" w14:textId="784D2F36" w:rsidR="009B7276" w:rsidRPr="008751A1" w:rsidRDefault="004D089C" w:rsidP="008751A1">
      <w:pPr>
        <w:pStyle w:val="CPClassification"/>
        <w:widowControl w:val="0"/>
        <w:ind w:right="-479"/>
        <w:rPr>
          <w:rFonts w:cs="Times New Roman"/>
          <w:color w:val="auto"/>
          <w:lang w:val="es-MX"/>
        </w:rPr>
      </w:pPr>
      <w:r w:rsidRPr="008751A1">
        <w:rPr>
          <w:rFonts w:cs="Times New Roman"/>
          <w:color w:val="auto"/>
          <w:lang w:val="es-MX"/>
        </w:rPr>
        <w:t>CP/</w:t>
      </w:r>
      <w:r w:rsidR="008751A1" w:rsidRPr="008751A1">
        <w:rPr>
          <w:rFonts w:cs="Times New Roman"/>
          <w:color w:val="auto"/>
          <w:lang w:val="es-MX"/>
        </w:rPr>
        <w:t>RES. 1249 (2486/24)</w:t>
      </w:r>
    </w:p>
    <w:p w14:paraId="71AC374B" w14:textId="021226B2" w:rsidR="0096088C" w:rsidRPr="008751A1" w:rsidRDefault="008751A1" w:rsidP="008751A1">
      <w:pPr>
        <w:pStyle w:val="CPClassification"/>
        <w:widowControl w:val="0"/>
        <w:rPr>
          <w:rFonts w:cs="Times New Roman"/>
          <w:color w:val="auto"/>
          <w:lang w:val="es-MX"/>
        </w:rPr>
      </w:pPr>
      <w:r w:rsidRPr="008751A1">
        <w:rPr>
          <w:rFonts w:cs="Times New Roman"/>
          <w:color w:val="auto"/>
          <w:lang w:val="es-MX"/>
        </w:rPr>
        <w:t>20</w:t>
      </w:r>
      <w:r w:rsidR="00895372" w:rsidRPr="008751A1">
        <w:rPr>
          <w:rFonts w:cs="Times New Roman"/>
          <w:color w:val="auto"/>
          <w:lang w:val="es-MX"/>
        </w:rPr>
        <w:t xml:space="preserve"> marzo</w:t>
      </w:r>
      <w:r w:rsidR="00EB3F8F" w:rsidRPr="008751A1">
        <w:rPr>
          <w:rFonts w:cs="Times New Roman"/>
          <w:color w:val="auto"/>
          <w:lang w:val="es-MX"/>
        </w:rPr>
        <w:t xml:space="preserve"> </w:t>
      </w:r>
      <w:r w:rsidR="0066365F" w:rsidRPr="008751A1">
        <w:rPr>
          <w:rFonts w:cs="Times New Roman"/>
          <w:color w:val="auto"/>
          <w:lang w:val="es-MX"/>
        </w:rPr>
        <w:t>202</w:t>
      </w:r>
      <w:r w:rsidR="00001989" w:rsidRPr="008751A1">
        <w:rPr>
          <w:rFonts w:cs="Times New Roman"/>
          <w:color w:val="auto"/>
          <w:lang w:val="es-MX"/>
        </w:rPr>
        <w:t>4</w:t>
      </w:r>
    </w:p>
    <w:p w14:paraId="3469F8C9" w14:textId="349FCDF0" w:rsidR="009B7276" w:rsidRPr="008751A1" w:rsidRDefault="00BC054D" w:rsidP="008751A1">
      <w:pPr>
        <w:pStyle w:val="CPClassification"/>
        <w:widowControl w:val="0"/>
        <w:rPr>
          <w:rFonts w:cs="Times New Roman"/>
          <w:color w:val="auto"/>
          <w:lang w:val="es-MX"/>
        </w:rPr>
      </w:pPr>
      <w:r w:rsidRPr="008751A1">
        <w:rPr>
          <w:rFonts w:cs="Times New Roman"/>
          <w:color w:val="auto"/>
          <w:lang w:val="es-MX"/>
        </w:rPr>
        <w:t>Original: español</w:t>
      </w:r>
    </w:p>
    <w:p w14:paraId="01EF69CF" w14:textId="77777777" w:rsidR="008751A1" w:rsidRPr="008751A1" w:rsidRDefault="008751A1" w:rsidP="008751A1">
      <w:pPr>
        <w:ind w:right="-32"/>
        <w:jc w:val="both"/>
        <w:rPr>
          <w:color w:val="auto"/>
          <w:lang w:val="es-ES" w:eastAsia="es-ES"/>
        </w:rPr>
      </w:pPr>
    </w:p>
    <w:p w14:paraId="1258B8BA" w14:textId="77777777" w:rsidR="008751A1" w:rsidRPr="008751A1" w:rsidRDefault="008751A1" w:rsidP="008751A1">
      <w:pPr>
        <w:ind w:right="-32"/>
        <w:jc w:val="both"/>
        <w:rPr>
          <w:color w:val="auto"/>
          <w:lang w:val="es-ES" w:eastAsia="es-ES"/>
        </w:rPr>
      </w:pPr>
    </w:p>
    <w:p w14:paraId="2D66854F" w14:textId="77777777" w:rsidR="008751A1" w:rsidRPr="008751A1" w:rsidRDefault="008751A1" w:rsidP="008751A1">
      <w:pPr>
        <w:ind w:right="-32"/>
        <w:jc w:val="both"/>
        <w:rPr>
          <w:color w:val="auto"/>
          <w:lang w:val="es-ES" w:eastAsia="es-ES"/>
        </w:rPr>
      </w:pPr>
    </w:p>
    <w:p w14:paraId="40BF0FD5" w14:textId="391BC36C" w:rsidR="00895372" w:rsidRPr="008751A1" w:rsidRDefault="008751A1" w:rsidP="008751A1">
      <w:pPr>
        <w:ind w:right="-32"/>
        <w:rPr>
          <w:color w:val="auto"/>
          <w:lang w:val="es-ES" w:eastAsia="es-ES"/>
        </w:rPr>
      </w:pPr>
      <w:r w:rsidRPr="008751A1">
        <w:rPr>
          <w:color w:val="auto"/>
          <w:lang w:val="es-ES" w:eastAsia="es-ES"/>
        </w:rPr>
        <w:t>CP/RES. 1249 (2486/24)</w:t>
      </w:r>
    </w:p>
    <w:p w14:paraId="7CCF412B" w14:textId="77777777" w:rsidR="00895372" w:rsidRPr="008751A1" w:rsidRDefault="00895372" w:rsidP="008751A1">
      <w:pPr>
        <w:ind w:right="-32"/>
        <w:rPr>
          <w:color w:val="auto"/>
          <w:lang w:val="es-ES" w:eastAsia="es-ES"/>
        </w:rPr>
      </w:pPr>
    </w:p>
    <w:p w14:paraId="36040E99" w14:textId="77494544" w:rsidR="00895372" w:rsidRPr="008751A1" w:rsidRDefault="00895372" w:rsidP="008751A1">
      <w:pPr>
        <w:widowControl w:val="0"/>
        <w:ind w:right="-32"/>
        <w:rPr>
          <w:color w:val="auto"/>
          <w:lang w:val="es-MX" w:eastAsia="es-ES"/>
        </w:rPr>
      </w:pPr>
      <w:r w:rsidRPr="008751A1">
        <w:rPr>
          <w:color w:val="auto"/>
          <w:lang w:val="es-MX" w:eastAsia="es-ES"/>
        </w:rPr>
        <w:t xml:space="preserve">CAMBIO DE FECHA DE LA SEXTA CONFERENCIA DE LOS ESTADOS PARTE DE </w:t>
      </w:r>
      <w:r w:rsidR="008711E6" w:rsidRPr="008751A1">
        <w:rPr>
          <w:color w:val="auto"/>
          <w:lang w:val="es-MX" w:eastAsia="es-ES"/>
        </w:rPr>
        <w:br/>
      </w:r>
      <w:r w:rsidRPr="008751A1">
        <w:rPr>
          <w:color w:val="auto"/>
          <w:lang w:val="es-MX" w:eastAsia="es-ES"/>
        </w:rPr>
        <w:t xml:space="preserve">LA CONVENCIÓN INTERAMERICANA CONTRA LA FABRICACIÓN Y EL TRÁFICO ILÍCITOS DE ARMAS DE FUEGO, MUNICIONES, EXPLOSIVOS Y OTROS MATERIALES RELACIONADOS (CIFTA) Y DE LA VIGÉSIMO CUARTA REUNIÓN ORDINARIA </w:t>
      </w:r>
      <w:r w:rsidR="008711E6" w:rsidRPr="008751A1">
        <w:rPr>
          <w:color w:val="auto"/>
          <w:lang w:val="es-MX" w:eastAsia="es-ES"/>
        </w:rPr>
        <w:br/>
      </w:r>
      <w:r w:rsidRPr="008751A1">
        <w:rPr>
          <w:color w:val="auto"/>
          <w:lang w:val="es-MX" w:eastAsia="es-ES"/>
        </w:rPr>
        <w:t>DEL COMITÉ CONSULTIVO DE LA CIFTA</w:t>
      </w:r>
    </w:p>
    <w:p w14:paraId="54B0E6B6" w14:textId="77777777" w:rsidR="00895372" w:rsidRPr="008751A1" w:rsidRDefault="00895372" w:rsidP="008751A1">
      <w:pPr>
        <w:widowControl w:val="0"/>
        <w:ind w:right="-32"/>
        <w:rPr>
          <w:color w:val="auto"/>
          <w:lang w:val="es-MX" w:eastAsia="es-ES"/>
        </w:rPr>
      </w:pPr>
    </w:p>
    <w:p w14:paraId="218FB9DF" w14:textId="16D5C018" w:rsidR="00895372" w:rsidRPr="008751A1" w:rsidRDefault="00895372" w:rsidP="008751A1">
      <w:pPr>
        <w:widowControl w:val="0"/>
        <w:ind w:right="-32"/>
        <w:rPr>
          <w:color w:val="auto"/>
          <w:lang w:val="es-MX" w:eastAsia="es-ES"/>
        </w:rPr>
      </w:pPr>
      <w:r w:rsidRPr="008751A1">
        <w:rPr>
          <w:color w:val="auto"/>
          <w:lang w:val="es-MX" w:eastAsia="es-ES"/>
        </w:rPr>
        <w:t>(</w:t>
      </w:r>
      <w:r w:rsidR="008751A1" w:rsidRPr="008751A1">
        <w:rPr>
          <w:color w:val="auto"/>
          <w:shd w:val="clear" w:color="auto" w:fill="FFFFFF"/>
          <w:lang w:val="es-US"/>
        </w:rPr>
        <w:t>Aprobada por el Consejo Permanente en la sesión ordinaria celebrada el 20 de marzo de 2024</w:t>
      </w:r>
      <w:r w:rsidRPr="008751A1">
        <w:rPr>
          <w:color w:val="auto"/>
          <w:lang w:val="es-MX" w:eastAsia="es-ES"/>
        </w:rPr>
        <w:t>)</w:t>
      </w:r>
    </w:p>
    <w:p w14:paraId="21DA6D1D" w14:textId="77777777" w:rsidR="00895372" w:rsidRPr="008751A1" w:rsidRDefault="00895372" w:rsidP="008751A1">
      <w:pPr>
        <w:widowControl w:val="0"/>
        <w:ind w:right="-32"/>
        <w:jc w:val="both"/>
        <w:rPr>
          <w:color w:val="auto"/>
          <w:lang w:val="es-MX" w:eastAsia="es-ES"/>
        </w:rPr>
      </w:pPr>
    </w:p>
    <w:p w14:paraId="5398C7DA" w14:textId="77777777" w:rsidR="00895372" w:rsidRPr="008751A1" w:rsidRDefault="00895372" w:rsidP="008751A1">
      <w:pPr>
        <w:widowControl w:val="0"/>
        <w:ind w:right="-32"/>
        <w:jc w:val="both"/>
        <w:rPr>
          <w:color w:val="auto"/>
          <w:lang w:val="es-MX" w:eastAsia="es-ES"/>
        </w:rPr>
      </w:pPr>
    </w:p>
    <w:p w14:paraId="2737D9A1" w14:textId="77777777" w:rsidR="00895372" w:rsidRPr="008751A1" w:rsidRDefault="00895372" w:rsidP="008751A1">
      <w:pPr>
        <w:widowControl w:val="0"/>
        <w:ind w:right="-29" w:firstLine="720"/>
        <w:jc w:val="both"/>
        <w:rPr>
          <w:color w:val="auto"/>
          <w:lang w:val="es-MX" w:eastAsia="es-ES"/>
        </w:rPr>
      </w:pPr>
      <w:r w:rsidRPr="008751A1">
        <w:rPr>
          <w:color w:val="auto"/>
          <w:lang w:val="es-MX" w:eastAsia="es-ES"/>
        </w:rPr>
        <w:t>EL CONSEJO PERMANENTE DE LA ORGANIZACIÓN DE LOS ESTADOS AMERICANOS,</w:t>
      </w:r>
    </w:p>
    <w:p w14:paraId="24A4AA64" w14:textId="77777777" w:rsidR="00895372" w:rsidRPr="008751A1" w:rsidRDefault="00895372" w:rsidP="008751A1">
      <w:pPr>
        <w:widowControl w:val="0"/>
        <w:ind w:right="-29"/>
        <w:jc w:val="both"/>
        <w:rPr>
          <w:color w:val="auto"/>
          <w:lang w:val="es-MX" w:eastAsia="es-ES"/>
        </w:rPr>
      </w:pPr>
    </w:p>
    <w:p w14:paraId="5C297AF2" w14:textId="77777777" w:rsidR="00895372" w:rsidRPr="008751A1" w:rsidRDefault="00895372" w:rsidP="008751A1">
      <w:pPr>
        <w:pStyle w:val="BodyText"/>
        <w:ind w:right="125" w:firstLine="709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8751A1">
        <w:rPr>
          <w:rFonts w:ascii="Times New Roman" w:hAnsi="Times New Roman" w:cs="Times New Roman"/>
          <w:sz w:val="22"/>
          <w:szCs w:val="22"/>
          <w:lang w:val="es-ES"/>
        </w:rPr>
        <w:t xml:space="preserve">TENIENDO PRESENTE el mandato de la resolución AG/RES. 3009 (LIII-O/23) para que la Vigésima Cuarta Reunión Ordinaria del Comité Consultivo de la Convención Interamericana contra la Fabricación y el Tráfico Ilícitos de Armas de Fuego, Municiones, Explosivos y Otros Materiales Relacionados (CIFTA) y a la Sexta Conferencia de los Estados Parte de la CIFTA se convoquen en 2024, de conformidad con el artículo XXVIII de la Convención; </w:t>
      </w:r>
    </w:p>
    <w:p w14:paraId="3E5E6DBB" w14:textId="77777777" w:rsidR="00895372" w:rsidRPr="008751A1" w:rsidRDefault="00895372" w:rsidP="008751A1">
      <w:pPr>
        <w:pStyle w:val="BodyText"/>
        <w:ind w:right="125" w:firstLine="709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47A47447" w14:textId="77777777" w:rsidR="00895372" w:rsidRPr="008751A1" w:rsidRDefault="00895372" w:rsidP="008751A1">
      <w:pPr>
        <w:pStyle w:val="BodyText"/>
        <w:ind w:right="125" w:firstLine="709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8751A1">
        <w:rPr>
          <w:rFonts w:ascii="Times New Roman" w:hAnsi="Times New Roman" w:cs="Times New Roman"/>
          <w:sz w:val="22"/>
          <w:szCs w:val="22"/>
          <w:lang w:val="es-ES"/>
        </w:rPr>
        <w:t xml:space="preserve">RECORDANDO que mediante la resolución CP/RES. 1247 (2483/24) el Consejo Permanente estableció el 29 y 30 de abril de 2024 como fechas para la celebración de la Vigésimo Cuarta Reunión Ordinaria del Comité Consultivo de la CIFTA y la Sexta Conferencia de los Estados Parte de la CIFTA, respectivamente; y </w:t>
      </w:r>
    </w:p>
    <w:p w14:paraId="0B0D9D5D" w14:textId="77777777" w:rsidR="00895372" w:rsidRPr="008751A1" w:rsidRDefault="00895372" w:rsidP="008751A1">
      <w:pPr>
        <w:pStyle w:val="BodyText"/>
        <w:ind w:right="125" w:firstLine="709"/>
        <w:jc w:val="both"/>
        <w:rPr>
          <w:rFonts w:ascii="Times New Roman" w:hAnsi="Times New Roman" w:cs="Times New Roman"/>
          <w:sz w:val="22"/>
          <w:szCs w:val="22"/>
          <w:lang w:val="es-MX" w:eastAsia="es-ES"/>
        </w:rPr>
      </w:pPr>
    </w:p>
    <w:p w14:paraId="245ABCE6" w14:textId="77777777" w:rsidR="00895372" w:rsidRPr="008751A1" w:rsidRDefault="00895372" w:rsidP="008751A1">
      <w:pPr>
        <w:pStyle w:val="BodyText"/>
        <w:ind w:right="125" w:firstLine="709"/>
        <w:jc w:val="both"/>
        <w:rPr>
          <w:rFonts w:ascii="Times New Roman" w:hAnsi="Times New Roman" w:cs="Times New Roman"/>
          <w:sz w:val="22"/>
          <w:szCs w:val="22"/>
          <w:lang w:val="es-MX" w:eastAsia="es-ES"/>
        </w:rPr>
      </w:pPr>
      <w:r w:rsidRPr="008751A1">
        <w:rPr>
          <w:rFonts w:ascii="Times New Roman" w:hAnsi="Times New Roman" w:cs="Times New Roman"/>
          <w:sz w:val="22"/>
          <w:szCs w:val="22"/>
          <w:lang w:val="es-US"/>
        </w:rPr>
        <w:t>TENIENDO EN CUENTA que por causas de fuerza mayor se hace necesario posponer la celebración de ambas reuniones,</w:t>
      </w:r>
    </w:p>
    <w:p w14:paraId="480D7B4D" w14:textId="77777777" w:rsidR="00895372" w:rsidRPr="008751A1" w:rsidRDefault="00895372" w:rsidP="008751A1">
      <w:pPr>
        <w:ind w:right="-29"/>
        <w:rPr>
          <w:color w:val="auto"/>
          <w:lang w:val="es-US" w:eastAsia="es-ES"/>
        </w:rPr>
      </w:pPr>
    </w:p>
    <w:p w14:paraId="48401835" w14:textId="77777777" w:rsidR="00895372" w:rsidRPr="008751A1" w:rsidRDefault="00895372" w:rsidP="008751A1">
      <w:pPr>
        <w:widowControl w:val="0"/>
        <w:ind w:right="-29"/>
        <w:jc w:val="both"/>
        <w:rPr>
          <w:color w:val="auto"/>
          <w:lang w:val="es-MX" w:eastAsia="es-ES"/>
        </w:rPr>
      </w:pPr>
      <w:r w:rsidRPr="008751A1">
        <w:rPr>
          <w:color w:val="auto"/>
          <w:lang w:val="es-MX" w:eastAsia="es-ES"/>
        </w:rPr>
        <w:t>RESUELVE:</w:t>
      </w:r>
    </w:p>
    <w:p w14:paraId="5DED7DEC" w14:textId="77777777" w:rsidR="00895372" w:rsidRPr="008751A1" w:rsidRDefault="00895372" w:rsidP="008751A1">
      <w:pPr>
        <w:widowControl w:val="0"/>
        <w:ind w:right="-29"/>
        <w:jc w:val="both"/>
        <w:rPr>
          <w:color w:val="auto"/>
          <w:lang w:val="es-MX" w:eastAsia="es-ES"/>
        </w:rPr>
      </w:pPr>
    </w:p>
    <w:p w14:paraId="6E8187E0" w14:textId="77777777" w:rsidR="00895372" w:rsidRPr="008751A1" w:rsidRDefault="00895372" w:rsidP="008751A1">
      <w:pPr>
        <w:widowControl w:val="0"/>
        <w:numPr>
          <w:ilvl w:val="0"/>
          <w:numId w:val="8"/>
        </w:numPr>
        <w:ind w:left="0" w:right="-29" w:firstLine="720"/>
        <w:jc w:val="both"/>
        <w:rPr>
          <w:color w:val="auto"/>
          <w:lang w:val="es-MX" w:eastAsia="es-ES"/>
        </w:rPr>
      </w:pPr>
      <w:r w:rsidRPr="008751A1">
        <w:rPr>
          <w:color w:val="auto"/>
          <w:lang w:val="es-MX" w:eastAsia="es-ES"/>
        </w:rPr>
        <w:t xml:space="preserve">Establecer el 23 y 24 de mayo de 2024 como fechas </w:t>
      </w:r>
      <w:r w:rsidRPr="008751A1">
        <w:rPr>
          <w:color w:val="auto"/>
          <w:lang w:val="es-ES"/>
        </w:rPr>
        <w:t xml:space="preserve">para la celebración de la Vigésimo Cuarta Reunión Ordinaria del Comité Consultivo de la Convención Interamericana contra la Fabricación y el Tráfico Ilícitos de Armas de Fuego, Municiones, Explosivos y Otros Materiales Relacionados (CIFTA) y la Sexta Conferencia de los Estados Parte de la CIFTA, respectivamente, </w:t>
      </w:r>
      <w:r w:rsidRPr="008751A1">
        <w:rPr>
          <w:color w:val="auto"/>
          <w:bdr w:val="none" w:sz="0" w:space="0" w:color="auto" w:frame="1"/>
          <w:lang w:val="es-MX" w:eastAsia="es-ES"/>
        </w:rPr>
        <w:t>ambas en formato híbrido desde la Sede de la OEA.</w:t>
      </w:r>
    </w:p>
    <w:p w14:paraId="000EC13E" w14:textId="77777777" w:rsidR="00895372" w:rsidRPr="008751A1" w:rsidRDefault="00895372" w:rsidP="008751A1">
      <w:pPr>
        <w:widowControl w:val="0"/>
        <w:ind w:left="720" w:right="-29"/>
        <w:jc w:val="both"/>
        <w:rPr>
          <w:color w:val="auto"/>
          <w:lang w:val="es-MX" w:eastAsia="es-ES"/>
        </w:rPr>
      </w:pPr>
    </w:p>
    <w:p w14:paraId="39F7AAA0" w14:textId="2A20A1D3" w:rsidR="00CD3347" w:rsidRPr="008751A1" w:rsidRDefault="00895372" w:rsidP="00C07875">
      <w:pPr>
        <w:widowControl w:val="0"/>
        <w:numPr>
          <w:ilvl w:val="0"/>
          <w:numId w:val="8"/>
        </w:numPr>
        <w:ind w:left="0" w:right="-29" w:firstLine="720"/>
        <w:jc w:val="both"/>
        <w:rPr>
          <w:color w:val="auto"/>
          <w:lang w:val="es-MX" w:eastAsia="es-ES"/>
        </w:rPr>
      </w:pPr>
      <w:r w:rsidRPr="008751A1">
        <w:rPr>
          <w:color w:val="auto"/>
          <w:lang w:val="es-MX" w:eastAsia="es-ES"/>
        </w:rPr>
        <w:t>Reiterar la solicitud a la Secretaría General para que preste el apoyo técnico y administrativo necesarios para la realización de ambas reuniones con sujeción a la disponibilidad de recursos asignados en el Programa-Presupuesto de la Organización y otros recursos para 2024</w:t>
      </w:r>
      <w:r w:rsidR="0072673A" w:rsidRPr="008751A1">
        <w:rPr>
          <w:color w:val="auto"/>
          <w:lang w:val="es-PE"/>
        </w:rPr>
        <w:t>.</w:t>
      </w:r>
      <w:r w:rsidR="00717DCA">
        <w:rPr>
          <w:noProof/>
          <w:color w:val="auto"/>
          <w:bdr w:val="none" w:sz="0" w:space="0" w:color="auto"/>
          <w:lang w:val="es-MX" w:eastAsia="es-ES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40ECE59B" wp14:editId="3D310EF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85605374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400C13" w14:textId="59997036" w:rsidR="00717DCA" w:rsidRPr="00717DCA" w:rsidRDefault="00717DCA" w:rsidP="00717DCA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CP49381S01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CE5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3E400C13" w14:textId="59997036" w:rsidR="00717DCA" w:rsidRPr="00717DCA" w:rsidRDefault="00717DCA" w:rsidP="00717DCA">
                      <w:pPr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CP49381S01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D3347" w:rsidRPr="008751A1" w:rsidSect="00CD3347">
      <w:type w:val="oddPage"/>
      <w:pgSz w:w="12240" w:h="15840"/>
      <w:pgMar w:top="2160" w:right="1570" w:bottom="1296" w:left="1699" w:header="720" w:footer="72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6189" w14:textId="77777777" w:rsidR="00936A93" w:rsidRDefault="00936A93">
      <w:r>
        <w:separator/>
      </w:r>
    </w:p>
  </w:endnote>
  <w:endnote w:type="continuationSeparator" w:id="0">
    <w:p w14:paraId="3D9656FF" w14:textId="77777777" w:rsidR="00936A93" w:rsidRDefault="0093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8FAB7" w14:textId="77777777" w:rsidR="00936A93" w:rsidRDefault="00936A93">
      <w:r>
        <w:separator/>
      </w:r>
    </w:p>
  </w:footnote>
  <w:footnote w:type="continuationSeparator" w:id="0">
    <w:p w14:paraId="59F60001" w14:textId="77777777" w:rsidR="00936A93" w:rsidRDefault="00936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5E5E"/>
    <w:multiLevelType w:val="hybridMultilevel"/>
    <w:tmpl w:val="11CC0420"/>
    <w:styleLink w:val="ImportedStyle1"/>
    <w:lvl w:ilvl="0" w:tplc="BDC00056">
      <w:start w:val="1"/>
      <w:numFmt w:val="upperRoman"/>
      <w:lvlText w:val="%1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694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DC15A0">
      <w:start w:val="1"/>
      <w:numFmt w:val="upperRoman"/>
      <w:lvlText w:val="%2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4E5A4C">
      <w:start w:val="1"/>
      <w:numFmt w:val="decimal"/>
      <w:lvlText w:val="%3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1832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902148">
      <w:start w:val="1"/>
      <w:numFmt w:val="decimal"/>
      <w:lvlText w:val="%4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632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260658">
      <w:start w:val="1"/>
      <w:numFmt w:val="decimal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3432" w:hanging="4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C8EE9E">
      <w:start w:val="1"/>
      <w:numFmt w:val="decimal"/>
      <w:lvlText w:val="%6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4232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721396">
      <w:start w:val="1"/>
      <w:numFmt w:val="decimal"/>
      <w:lvlText w:val="%7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32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E09D56">
      <w:start w:val="1"/>
      <w:numFmt w:val="decimal"/>
      <w:lvlText w:val="%8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  <w:tab w:val="left" w:pos="7920"/>
        </w:tabs>
        <w:ind w:left="5832" w:hanging="4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3A7470">
      <w:start w:val="1"/>
      <w:numFmt w:val="decimal"/>
      <w:lvlText w:val="%9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7200"/>
          <w:tab w:val="left" w:pos="7920"/>
        </w:tabs>
        <w:ind w:left="6632" w:hanging="3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B497636"/>
    <w:multiLevelType w:val="hybridMultilevel"/>
    <w:tmpl w:val="9A96F84E"/>
    <w:styleLink w:val="ImportedStyle2"/>
    <w:lvl w:ilvl="0" w:tplc="83BE7D50">
      <w:start w:val="1"/>
      <w:numFmt w:val="decimal"/>
      <w:lvlText w:val="%1."/>
      <w:lvlJc w:val="left"/>
      <w:pPr>
        <w:tabs>
          <w:tab w:val="num" w:pos="1380"/>
          <w:tab w:val="left" w:pos="1440"/>
        </w:tabs>
        <w:ind w:left="4260" w:hanging="3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E09DF6">
      <w:start w:val="1"/>
      <w:numFmt w:val="decimal"/>
      <w:lvlText w:val="%2."/>
      <w:lvlJc w:val="left"/>
      <w:pPr>
        <w:tabs>
          <w:tab w:val="num" w:pos="1440"/>
        </w:tabs>
        <w:ind w:left="4320" w:hanging="36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AC8A5A">
      <w:start w:val="1"/>
      <w:numFmt w:val="lowerRoman"/>
      <w:lvlText w:val="%3."/>
      <w:lvlJc w:val="left"/>
      <w:pPr>
        <w:tabs>
          <w:tab w:val="left" w:pos="1440"/>
          <w:tab w:val="num" w:pos="2160"/>
        </w:tabs>
        <w:ind w:left="5040" w:hanging="3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44DDF6">
      <w:start w:val="1"/>
      <w:numFmt w:val="decimal"/>
      <w:lvlText w:val="%4."/>
      <w:lvlJc w:val="left"/>
      <w:pPr>
        <w:tabs>
          <w:tab w:val="left" w:pos="1440"/>
          <w:tab w:val="num" w:pos="2880"/>
        </w:tabs>
        <w:ind w:left="5760" w:hanging="36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7C7162">
      <w:start w:val="1"/>
      <w:numFmt w:val="lowerLetter"/>
      <w:lvlText w:val="%5."/>
      <w:lvlJc w:val="left"/>
      <w:pPr>
        <w:tabs>
          <w:tab w:val="left" w:pos="1440"/>
          <w:tab w:val="num" w:pos="3600"/>
        </w:tabs>
        <w:ind w:left="6480" w:hanging="36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767F34">
      <w:start w:val="1"/>
      <w:numFmt w:val="lowerRoman"/>
      <w:lvlText w:val="%6."/>
      <w:lvlJc w:val="left"/>
      <w:pPr>
        <w:tabs>
          <w:tab w:val="left" w:pos="1440"/>
          <w:tab w:val="num" w:pos="4320"/>
        </w:tabs>
        <w:ind w:left="7200" w:hanging="3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1AFE98">
      <w:start w:val="1"/>
      <w:numFmt w:val="decimal"/>
      <w:lvlText w:val="%7."/>
      <w:lvlJc w:val="left"/>
      <w:pPr>
        <w:tabs>
          <w:tab w:val="left" w:pos="1440"/>
          <w:tab w:val="num" w:pos="5040"/>
        </w:tabs>
        <w:ind w:left="7920" w:hanging="36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A6C694">
      <w:start w:val="1"/>
      <w:numFmt w:val="lowerLetter"/>
      <w:lvlText w:val="%8."/>
      <w:lvlJc w:val="left"/>
      <w:pPr>
        <w:tabs>
          <w:tab w:val="left" w:pos="1440"/>
          <w:tab w:val="num" w:pos="5760"/>
        </w:tabs>
        <w:ind w:left="8640" w:hanging="36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287D26">
      <w:start w:val="1"/>
      <w:numFmt w:val="lowerRoman"/>
      <w:lvlText w:val="%9."/>
      <w:lvlJc w:val="left"/>
      <w:pPr>
        <w:tabs>
          <w:tab w:val="left" w:pos="1440"/>
          <w:tab w:val="num" w:pos="6480"/>
        </w:tabs>
        <w:ind w:left="9360" w:hanging="3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B801919"/>
    <w:multiLevelType w:val="hybridMultilevel"/>
    <w:tmpl w:val="A28C7A7E"/>
    <w:lvl w:ilvl="0" w:tplc="9AC28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>
      <w:start w:val="1"/>
      <w:numFmt w:val="lowerRoman"/>
      <w:lvlText w:val="%6."/>
      <w:lvlJc w:val="right"/>
      <w:pPr>
        <w:ind w:left="4320" w:hanging="180"/>
      </w:pPr>
    </w:lvl>
    <w:lvl w:ilvl="6" w:tplc="540A000F">
      <w:start w:val="1"/>
      <w:numFmt w:val="decimal"/>
      <w:lvlText w:val="%7."/>
      <w:lvlJc w:val="left"/>
      <w:pPr>
        <w:ind w:left="5040" w:hanging="360"/>
      </w:pPr>
    </w:lvl>
    <w:lvl w:ilvl="7" w:tplc="540A0019">
      <w:start w:val="1"/>
      <w:numFmt w:val="lowerLetter"/>
      <w:lvlText w:val="%8."/>
      <w:lvlJc w:val="left"/>
      <w:pPr>
        <w:ind w:left="5760" w:hanging="360"/>
      </w:pPr>
    </w:lvl>
    <w:lvl w:ilvl="8" w:tplc="5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92B"/>
    <w:multiLevelType w:val="hybridMultilevel"/>
    <w:tmpl w:val="9A96F84E"/>
    <w:numStyleLink w:val="ImportedStyle2"/>
  </w:abstractNum>
  <w:abstractNum w:abstractNumId="4" w15:restartNumberingAfterBreak="0">
    <w:nsid w:val="2EFD5038"/>
    <w:multiLevelType w:val="hybridMultilevel"/>
    <w:tmpl w:val="D44C1332"/>
    <w:lvl w:ilvl="0" w:tplc="ABCC5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anish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D4595A"/>
    <w:multiLevelType w:val="hybridMultilevel"/>
    <w:tmpl w:val="11CC0420"/>
    <w:numStyleLink w:val="ImportedStyle1"/>
  </w:abstractNum>
  <w:num w:numId="1" w16cid:durableId="326055409">
    <w:abstractNumId w:val="0"/>
  </w:num>
  <w:num w:numId="2" w16cid:durableId="331493555">
    <w:abstractNumId w:val="5"/>
  </w:num>
  <w:num w:numId="3" w16cid:durableId="1142892305">
    <w:abstractNumId w:val="1"/>
  </w:num>
  <w:num w:numId="4" w16cid:durableId="1946036973">
    <w:abstractNumId w:val="3"/>
  </w:num>
  <w:num w:numId="5" w16cid:durableId="905991198">
    <w:abstractNumId w:val="3"/>
    <w:lvlOverride w:ilvl="0">
      <w:lvl w:ilvl="0" w:tplc="F692C632">
        <w:start w:val="1"/>
        <w:numFmt w:val="decimal"/>
        <w:lvlText w:val="%1."/>
        <w:lvlJc w:val="left"/>
        <w:pPr>
          <w:tabs>
            <w:tab w:val="num" w:pos="1380"/>
          </w:tabs>
          <w:ind w:left="4260" w:hanging="3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065656">
        <w:start w:val="1"/>
        <w:numFmt w:val="decimal"/>
        <w:lvlText w:val="%2."/>
        <w:lvlJc w:val="left"/>
        <w:pPr>
          <w:tabs>
            <w:tab w:val="left" w:pos="720"/>
            <w:tab w:val="num" w:pos="1440"/>
          </w:tabs>
          <w:ind w:left="4320" w:hanging="3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F2BF08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num" w:pos="2160"/>
          </w:tabs>
          <w:ind w:left="5040" w:hanging="3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B4219A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num" w:pos="2880"/>
          </w:tabs>
          <w:ind w:left="5760" w:hanging="3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CE1E64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num" w:pos="3600"/>
          </w:tabs>
          <w:ind w:left="6480" w:hanging="3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1A2F914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num" w:pos="4320"/>
          </w:tabs>
          <w:ind w:left="7200" w:hanging="3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3661C2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num" w:pos="5040"/>
          </w:tabs>
          <w:ind w:left="7920" w:hanging="3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EA6FE4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num" w:pos="5760"/>
          </w:tabs>
          <w:ind w:left="8640" w:hanging="3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66E54C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num" w:pos="6480"/>
          </w:tabs>
          <w:ind w:left="9360" w:hanging="3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737121557">
    <w:abstractNumId w:val="5"/>
  </w:num>
  <w:num w:numId="7" w16cid:durableId="1755321034">
    <w:abstractNumId w:val="4"/>
  </w:num>
  <w:num w:numId="8" w16cid:durableId="3030492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76"/>
    <w:rsid w:val="00001989"/>
    <w:rsid w:val="00014D54"/>
    <w:rsid w:val="0001722D"/>
    <w:rsid w:val="00017237"/>
    <w:rsid w:val="00027487"/>
    <w:rsid w:val="00027C94"/>
    <w:rsid w:val="000375D3"/>
    <w:rsid w:val="0004555F"/>
    <w:rsid w:val="00047165"/>
    <w:rsid w:val="0005248A"/>
    <w:rsid w:val="00056339"/>
    <w:rsid w:val="00064088"/>
    <w:rsid w:val="000664F2"/>
    <w:rsid w:val="00067B63"/>
    <w:rsid w:val="000728B0"/>
    <w:rsid w:val="000761F0"/>
    <w:rsid w:val="0008596C"/>
    <w:rsid w:val="00085E87"/>
    <w:rsid w:val="000976DD"/>
    <w:rsid w:val="000A334D"/>
    <w:rsid w:val="000A3E81"/>
    <w:rsid w:val="000B05BE"/>
    <w:rsid w:val="000B334A"/>
    <w:rsid w:val="000B7989"/>
    <w:rsid w:val="000E0A26"/>
    <w:rsid w:val="000E6638"/>
    <w:rsid w:val="000F3389"/>
    <w:rsid w:val="000F46FA"/>
    <w:rsid w:val="00103AEA"/>
    <w:rsid w:val="0010501F"/>
    <w:rsid w:val="00105923"/>
    <w:rsid w:val="00110D4F"/>
    <w:rsid w:val="00117811"/>
    <w:rsid w:val="0012386F"/>
    <w:rsid w:val="001271DC"/>
    <w:rsid w:val="00127A91"/>
    <w:rsid w:val="00133B28"/>
    <w:rsid w:val="00133D7E"/>
    <w:rsid w:val="0013635C"/>
    <w:rsid w:val="00140341"/>
    <w:rsid w:val="00142DBF"/>
    <w:rsid w:val="001465F8"/>
    <w:rsid w:val="001567FE"/>
    <w:rsid w:val="0016009B"/>
    <w:rsid w:val="00163C8A"/>
    <w:rsid w:val="001714EF"/>
    <w:rsid w:val="00172913"/>
    <w:rsid w:val="00174C08"/>
    <w:rsid w:val="00185131"/>
    <w:rsid w:val="00185607"/>
    <w:rsid w:val="001A0C63"/>
    <w:rsid w:val="001A2B41"/>
    <w:rsid w:val="001C0269"/>
    <w:rsid w:val="001C4371"/>
    <w:rsid w:val="001D46D1"/>
    <w:rsid w:val="001D4D93"/>
    <w:rsid w:val="001D51DD"/>
    <w:rsid w:val="001D61DD"/>
    <w:rsid w:val="001E5E4D"/>
    <w:rsid w:val="001F304C"/>
    <w:rsid w:val="00212FA7"/>
    <w:rsid w:val="00214767"/>
    <w:rsid w:val="00214CF5"/>
    <w:rsid w:val="00224424"/>
    <w:rsid w:val="002417C4"/>
    <w:rsid w:val="00261879"/>
    <w:rsid w:val="00282642"/>
    <w:rsid w:val="00283194"/>
    <w:rsid w:val="0028659F"/>
    <w:rsid w:val="002A3C21"/>
    <w:rsid w:val="002B1E9E"/>
    <w:rsid w:val="002C5966"/>
    <w:rsid w:val="002E0E73"/>
    <w:rsid w:val="00322D36"/>
    <w:rsid w:val="0032444D"/>
    <w:rsid w:val="003345DB"/>
    <w:rsid w:val="003404A7"/>
    <w:rsid w:val="0035061D"/>
    <w:rsid w:val="003542BB"/>
    <w:rsid w:val="00362130"/>
    <w:rsid w:val="00363F80"/>
    <w:rsid w:val="003963DC"/>
    <w:rsid w:val="00396C7D"/>
    <w:rsid w:val="003C47B2"/>
    <w:rsid w:val="003F355E"/>
    <w:rsid w:val="004012F4"/>
    <w:rsid w:val="00407BBB"/>
    <w:rsid w:val="004224B3"/>
    <w:rsid w:val="00443823"/>
    <w:rsid w:val="004439E1"/>
    <w:rsid w:val="004471B6"/>
    <w:rsid w:val="00471D49"/>
    <w:rsid w:val="004A3A6A"/>
    <w:rsid w:val="004C3401"/>
    <w:rsid w:val="004C725E"/>
    <w:rsid w:val="004D089C"/>
    <w:rsid w:val="004E16CF"/>
    <w:rsid w:val="004E5682"/>
    <w:rsid w:val="004F5FE8"/>
    <w:rsid w:val="00510D6A"/>
    <w:rsid w:val="00511E10"/>
    <w:rsid w:val="005153DB"/>
    <w:rsid w:val="00534D28"/>
    <w:rsid w:val="005371D7"/>
    <w:rsid w:val="005412DD"/>
    <w:rsid w:val="00542D4D"/>
    <w:rsid w:val="00555E98"/>
    <w:rsid w:val="00557032"/>
    <w:rsid w:val="005650F8"/>
    <w:rsid w:val="0059552E"/>
    <w:rsid w:val="005A1238"/>
    <w:rsid w:val="005B5DD8"/>
    <w:rsid w:val="005C5845"/>
    <w:rsid w:val="005C734F"/>
    <w:rsid w:val="005D3263"/>
    <w:rsid w:val="005D596F"/>
    <w:rsid w:val="005D65FF"/>
    <w:rsid w:val="005E3C39"/>
    <w:rsid w:val="005F3BFF"/>
    <w:rsid w:val="00606CEE"/>
    <w:rsid w:val="006118F3"/>
    <w:rsid w:val="00613D42"/>
    <w:rsid w:val="006157CF"/>
    <w:rsid w:val="00634F45"/>
    <w:rsid w:val="006442E5"/>
    <w:rsid w:val="006510E4"/>
    <w:rsid w:val="0066365F"/>
    <w:rsid w:val="00674A06"/>
    <w:rsid w:val="00680115"/>
    <w:rsid w:val="00680D9F"/>
    <w:rsid w:val="006956F9"/>
    <w:rsid w:val="006A0B81"/>
    <w:rsid w:val="006A7145"/>
    <w:rsid w:val="006B0E7D"/>
    <w:rsid w:val="006B23BC"/>
    <w:rsid w:val="006B381D"/>
    <w:rsid w:val="006B46B4"/>
    <w:rsid w:val="006B7618"/>
    <w:rsid w:val="006C4E74"/>
    <w:rsid w:val="006F435B"/>
    <w:rsid w:val="0070685C"/>
    <w:rsid w:val="00712EBD"/>
    <w:rsid w:val="0071324E"/>
    <w:rsid w:val="00713D2B"/>
    <w:rsid w:val="00716787"/>
    <w:rsid w:val="00717DCA"/>
    <w:rsid w:val="0072673A"/>
    <w:rsid w:val="00730580"/>
    <w:rsid w:val="00747DC0"/>
    <w:rsid w:val="00754621"/>
    <w:rsid w:val="007752A9"/>
    <w:rsid w:val="00795467"/>
    <w:rsid w:val="007C1D46"/>
    <w:rsid w:val="007C30F7"/>
    <w:rsid w:val="007F417C"/>
    <w:rsid w:val="007F7072"/>
    <w:rsid w:val="00807E34"/>
    <w:rsid w:val="00811B1A"/>
    <w:rsid w:val="00814D53"/>
    <w:rsid w:val="00815518"/>
    <w:rsid w:val="00830BAB"/>
    <w:rsid w:val="00837DB5"/>
    <w:rsid w:val="00845641"/>
    <w:rsid w:val="00847069"/>
    <w:rsid w:val="00865FAB"/>
    <w:rsid w:val="00867A5E"/>
    <w:rsid w:val="008709F7"/>
    <w:rsid w:val="008711E6"/>
    <w:rsid w:val="008731A3"/>
    <w:rsid w:val="008751A1"/>
    <w:rsid w:val="00884777"/>
    <w:rsid w:val="00885402"/>
    <w:rsid w:val="00895372"/>
    <w:rsid w:val="008971ED"/>
    <w:rsid w:val="008A57EB"/>
    <w:rsid w:val="008B2802"/>
    <w:rsid w:val="008B3AC5"/>
    <w:rsid w:val="008B42D6"/>
    <w:rsid w:val="008B6422"/>
    <w:rsid w:val="008C5387"/>
    <w:rsid w:val="008D4801"/>
    <w:rsid w:val="008D53AF"/>
    <w:rsid w:val="008E6FD6"/>
    <w:rsid w:val="009057B1"/>
    <w:rsid w:val="009276B6"/>
    <w:rsid w:val="0093247A"/>
    <w:rsid w:val="00936A93"/>
    <w:rsid w:val="009510E7"/>
    <w:rsid w:val="00956E85"/>
    <w:rsid w:val="00957295"/>
    <w:rsid w:val="00960780"/>
    <w:rsid w:val="0096088C"/>
    <w:rsid w:val="00962E1F"/>
    <w:rsid w:val="009679E1"/>
    <w:rsid w:val="0097432F"/>
    <w:rsid w:val="00980896"/>
    <w:rsid w:val="009814A0"/>
    <w:rsid w:val="00993463"/>
    <w:rsid w:val="009A15D3"/>
    <w:rsid w:val="009A7DBD"/>
    <w:rsid w:val="009B7276"/>
    <w:rsid w:val="009C1515"/>
    <w:rsid w:val="009E6FB4"/>
    <w:rsid w:val="009F7A06"/>
    <w:rsid w:val="00A0066C"/>
    <w:rsid w:val="00A04C6A"/>
    <w:rsid w:val="00A15490"/>
    <w:rsid w:val="00A15D36"/>
    <w:rsid w:val="00A20A9B"/>
    <w:rsid w:val="00A27DBA"/>
    <w:rsid w:val="00A36A9E"/>
    <w:rsid w:val="00A64D36"/>
    <w:rsid w:val="00A74078"/>
    <w:rsid w:val="00A74A2A"/>
    <w:rsid w:val="00A774F9"/>
    <w:rsid w:val="00A85624"/>
    <w:rsid w:val="00A960FB"/>
    <w:rsid w:val="00AD20CA"/>
    <w:rsid w:val="00AE4CC9"/>
    <w:rsid w:val="00AF0FA5"/>
    <w:rsid w:val="00B024BD"/>
    <w:rsid w:val="00B0540D"/>
    <w:rsid w:val="00B07013"/>
    <w:rsid w:val="00B11F40"/>
    <w:rsid w:val="00B21D96"/>
    <w:rsid w:val="00B429E1"/>
    <w:rsid w:val="00B46642"/>
    <w:rsid w:val="00B53B90"/>
    <w:rsid w:val="00B575D0"/>
    <w:rsid w:val="00B65CE9"/>
    <w:rsid w:val="00B74E9F"/>
    <w:rsid w:val="00B87582"/>
    <w:rsid w:val="00B90789"/>
    <w:rsid w:val="00BA05DA"/>
    <w:rsid w:val="00BA3327"/>
    <w:rsid w:val="00BB59F9"/>
    <w:rsid w:val="00BC054D"/>
    <w:rsid w:val="00BC4011"/>
    <w:rsid w:val="00BD19D4"/>
    <w:rsid w:val="00BD3F38"/>
    <w:rsid w:val="00BD7DC6"/>
    <w:rsid w:val="00BE2BA2"/>
    <w:rsid w:val="00BF0CC1"/>
    <w:rsid w:val="00C128C1"/>
    <w:rsid w:val="00C1648F"/>
    <w:rsid w:val="00C2322B"/>
    <w:rsid w:val="00C41CBA"/>
    <w:rsid w:val="00C4420A"/>
    <w:rsid w:val="00C45EB2"/>
    <w:rsid w:val="00C55C40"/>
    <w:rsid w:val="00C65645"/>
    <w:rsid w:val="00C736C2"/>
    <w:rsid w:val="00C7558A"/>
    <w:rsid w:val="00CA1132"/>
    <w:rsid w:val="00CB2047"/>
    <w:rsid w:val="00CC24B1"/>
    <w:rsid w:val="00CD1411"/>
    <w:rsid w:val="00CD3347"/>
    <w:rsid w:val="00CD341C"/>
    <w:rsid w:val="00CD41BE"/>
    <w:rsid w:val="00CE43CD"/>
    <w:rsid w:val="00D23BEC"/>
    <w:rsid w:val="00D412C5"/>
    <w:rsid w:val="00D4296F"/>
    <w:rsid w:val="00D43F47"/>
    <w:rsid w:val="00D47D0D"/>
    <w:rsid w:val="00D50DCE"/>
    <w:rsid w:val="00D54967"/>
    <w:rsid w:val="00D55357"/>
    <w:rsid w:val="00D61CDE"/>
    <w:rsid w:val="00D71797"/>
    <w:rsid w:val="00D76D74"/>
    <w:rsid w:val="00D819D2"/>
    <w:rsid w:val="00D94C86"/>
    <w:rsid w:val="00D97417"/>
    <w:rsid w:val="00DA4A4F"/>
    <w:rsid w:val="00DA6DBE"/>
    <w:rsid w:val="00DC3516"/>
    <w:rsid w:val="00DC3F35"/>
    <w:rsid w:val="00DD2585"/>
    <w:rsid w:val="00DF7268"/>
    <w:rsid w:val="00DF74B0"/>
    <w:rsid w:val="00E06A85"/>
    <w:rsid w:val="00E07C77"/>
    <w:rsid w:val="00E15F13"/>
    <w:rsid w:val="00E2012D"/>
    <w:rsid w:val="00E21D0C"/>
    <w:rsid w:val="00E24BF2"/>
    <w:rsid w:val="00E47FFC"/>
    <w:rsid w:val="00E551AE"/>
    <w:rsid w:val="00E624DB"/>
    <w:rsid w:val="00E8205F"/>
    <w:rsid w:val="00E86E35"/>
    <w:rsid w:val="00E87392"/>
    <w:rsid w:val="00EA266D"/>
    <w:rsid w:val="00EB3F8F"/>
    <w:rsid w:val="00EC7762"/>
    <w:rsid w:val="00ED2A9B"/>
    <w:rsid w:val="00ED4692"/>
    <w:rsid w:val="00ED4DD6"/>
    <w:rsid w:val="00EE3E2F"/>
    <w:rsid w:val="00EE69D9"/>
    <w:rsid w:val="00EF5087"/>
    <w:rsid w:val="00F0020C"/>
    <w:rsid w:val="00F175D1"/>
    <w:rsid w:val="00F22C4D"/>
    <w:rsid w:val="00F270F6"/>
    <w:rsid w:val="00F46D75"/>
    <w:rsid w:val="00F5278B"/>
    <w:rsid w:val="00F6109F"/>
    <w:rsid w:val="00F677DA"/>
    <w:rsid w:val="00F67ACC"/>
    <w:rsid w:val="00F70BED"/>
    <w:rsid w:val="00F747BA"/>
    <w:rsid w:val="00F74EEF"/>
    <w:rsid w:val="00F8405A"/>
    <w:rsid w:val="00FB0860"/>
    <w:rsid w:val="00FB44E5"/>
    <w:rsid w:val="00FB59B8"/>
    <w:rsid w:val="00FC211E"/>
    <w:rsid w:val="00FC50A9"/>
    <w:rsid w:val="00FD2B9A"/>
    <w:rsid w:val="00F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;"/>
  <w14:docId w14:val="7808EF36"/>
  <w15:chartTrackingRefBased/>
  <w15:docId w15:val="{65CF4942-5F88-48E8-B2AB-524D2CE9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color w:val="000000"/>
      <w:sz w:val="22"/>
      <w:szCs w:val="22"/>
      <w:u w:color="000000"/>
      <w:bdr w:val="nil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CE43CD"/>
    <w:pPr>
      <w:outlineLvl w:val="0"/>
    </w:pPr>
    <w:rPr>
      <w:rFonts w:eastAsia="Calibri"/>
      <w:bCs/>
      <w:szCs w:val="28"/>
      <w:bdr w:val="none" w:sz="0" w:space="0" w:color="auto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CPClassification">
    <w:name w:val="CP Classification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2160"/>
        <w:tab w:val="left" w:pos="7200"/>
      </w:tabs>
      <w:ind w:left="7200"/>
      <w:jc w:val="both"/>
    </w:pPr>
    <w:rPr>
      <w:rFonts w:cs="Arial Unicode MS"/>
      <w:color w:val="000000"/>
      <w:sz w:val="22"/>
      <w:szCs w:val="22"/>
      <w:u w:color="000000"/>
      <w:bdr w:val="nil"/>
      <w:lang w:val="pt-PT"/>
    </w:rPr>
  </w:style>
  <w:style w:type="paragraph" w:styleId="Header">
    <w:name w:val="header"/>
    <w:aliases w:val="encabezado"/>
    <w:link w:val="HeaderCha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eastAsia="Times New Roman"/>
      <w:color w:val="000000"/>
      <w:sz w:val="22"/>
      <w:szCs w:val="22"/>
      <w:u w:color="000000"/>
      <w:bdr w:val="nil"/>
    </w:rPr>
  </w:style>
  <w:style w:type="paragraph" w:customStyle="1" w:styleId="CPTitle">
    <w:name w:val="CP Titl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</w:pPr>
    <w:rPr>
      <w:rFonts w:eastAsia="Times New Roman"/>
      <w:color w:val="000000"/>
      <w:sz w:val="22"/>
      <w:szCs w:val="22"/>
      <w:u w:color="000000"/>
      <w:bdr w:val="nil"/>
      <w:lang w:val="pt-PT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Bodytext1">
    <w:name w:val="Body text 1"/>
    <w:pPr>
      <w:pBdr>
        <w:top w:val="nil"/>
        <w:left w:val="nil"/>
        <w:bottom w:val="nil"/>
        <w:right w:val="nil"/>
        <w:between w:val="nil"/>
        <w:bar w:val="nil"/>
      </w:pBdr>
      <w:spacing w:after="120"/>
      <w:ind w:firstLine="720"/>
      <w:jc w:val="both"/>
    </w:pPr>
    <w:rPr>
      <w:rFonts w:eastAsia="Times New Roman"/>
      <w:color w:val="000000"/>
      <w:sz w:val="22"/>
      <w:szCs w:val="22"/>
      <w:u w:color="000000"/>
      <w:bdr w:val="nil"/>
      <w:lang w:val="pt-PT"/>
    </w:rPr>
  </w:style>
  <w:style w:type="paragraph" w:styleId="NormalWeb">
    <w:name w:val="Normal (Web)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uiPriority w:val="72"/>
    <w:qFormat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styleId="FollowedHyperlink">
    <w:name w:val="FollowedHyperlink"/>
    <w:uiPriority w:val="99"/>
    <w:semiHidden/>
    <w:unhideWhenUsed/>
    <w:rsid w:val="00212FA7"/>
    <w:rPr>
      <w:color w:val="800080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14D53"/>
    <w:pPr>
      <w:tabs>
        <w:tab w:val="left" w:pos="3060"/>
        <w:tab w:val="right" w:leader="dot" w:pos="9000"/>
      </w:tabs>
      <w:ind w:left="3060" w:right="1051" w:hanging="3060"/>
      <w:jc w:val="both"/>
    </w:pPr>
    <w:rPr>
      <w:rFonts w:ascii="Calibri" w:eastAsia="Calibri" w:hAnsi="Calibri"/>
      <w:color w:val="auto"/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814D53"/>
    <w:pPr>
      <w:tabs>
        <w:tab w:val="left" w:pos="3060"/>
        <w:tab w:val="right" w:leader="dot" w:pos="9000"/>
      </w:tabs>
      <w:ind w:left="3060" w:right="1051" w:hanging="3060"/>
      <w:jc w:val="both"/>
    </w:pPr>
    <w:rPr>
      <w:rFonts w:eastAsia="Calibri"/>
      <w:bCs/>
      <w:noProof/>
      <w:color w:val="auto"/>
      <w:bdr w:val="none" w:sz="0" w:space="0" w:color="auto"/>
      <w:lang w:val="es-ES" w:eastAsia="es-E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CE43CD"/>
    <w:rPr>
      <w:rFonts w:eastAsia="Calibri"/>
      <w:bCs/>
      <w:color w:val="000000"/>
      <w:sz w:val="22"/>
      <w:szCs w:val="28"/>
    </w:rPr>
  </w:style>
  <w:style w:type="character" w:customStyle="1" w:styleId="HeaderChar">
    <w:name w:val="Header Char"/>
    <w:aliases w:val="encabezado Char"/>
    <w:link w:val="Header"/>
    <w:locked/>
    <w:rsid w:val="00CE43CD"/>
    <w:rPr>
      <w:rFonts w:eastAsia="Times New Roman"/>
      <w:color w:val="000000"/>
      <w:sz w:val="22"/>
      <w:szCs w:val="22"/>
      <w:u w:color="000000"/>
      <w:bdr w:val="nil"/>
      <w:lang w:val="en-US" w:eastAsia="en-US"/>
    </w:rPr>
  </w:style>
  <w:style w:type="character" w:styleId="Strong">
    <w:name w:val="Strong"/>
    <w:basedOn w:val="DefaultParagraphFont"/>
    <w:uiPriority w:val="22"/>
    <w:qFormat/>
    <w:rsid w:val="00E8739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7F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7FFC"/>
    <w:rPr>
      <w:rFonts w:eastAsia="Times New Roman"/>
      <w:color w:val="000000"/>
      <w:u w:color="000000"/>
      <w:bdr w:val="nil"/>
    </w:rPr>
  </w:style>
  <w:style w:type="character" w:styleId="FootnoteReference">
    <w:name w:val="footnote reference"/>
    <w:basedOn w:val="DefaultParagraphFont"/>
    <w:uiPriority w:val="99"/>
    <w:semiHidden/>
    <w:unhideWhenUsed/>
    <w:rsid w:val="00E47FF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D33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347"/>
    <w:rPr>
      <w:rFonts w:eastAsia="Times New Roman"/>
      <w:color w:val="000000"/>
      <w:sz w:val="22"/>
      <w:szCs w:val="22"/>
      <w:u w:color="000000"/>
      <w:bdr w:val="nil"/>
    </w:rPr>
  </w:style>
  <w:style w:type="paragraph" w:styleId="BodyText">
    <w:name w:val="Body Text"/>
    <w:basedOn w:val="Normal"/>
    <w:link w:val="BodyTextChar"/>
    <w:uiPriority w:val="1"/>
    <w:unhideWhenUsed/>
    <w:qFormat/>
    <w:rsid w:val="00895372"/>
    <w:pPr>
      <w:widowControl w:val="0"/>
      <w:autoSpaceDE w:val="0"/>
      <w:autoSpaceDN w:val="0"/>
      <w:jc w:val="left"/>
    </w:pPr>
    <w:rPr>
      <w:rFonts w:ascii="Arial" w:eastAsia="Arial" w:hAnsi="Arial" w:cs="Arial"/>
      <w:color w:val="auto"/>
      <w:sz w:val="24"/>
      <w:szCs w:val="24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895372"/>
    <w:rPr>
      <w:rFonts w:ascii="Arial" w:eastAsia="Arial" w:hAnsi="Arial" w:cs="Arial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63A32-94CD-4A56-930C-7DB11CE6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RCortes</dc:creator>
  <cp:keywords/>
  <cp:lastModifiedBy>Loredo, Carmen</cp:lastModifiedBy>
  <cp:revision>3</cp:revision>
  <cp:lastPrinted>2017-09-05T22:04:00Z</cp:lastPrinted>
  <dcterms:created xsi:type="dcterms:W3CDTF">2024-03-20T20:09:00Z</dcterms:created>
  <dcterms:modified xsi:type="dcterms:W3CDTF">2024-03-20T20:39:00Z</dcterms:modified>
</cp:coreProperties>
</file>